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CE" w:rsidRDefault="00F054CE">
      <w:pPr>
        <w:pStyle w:val="Textbody"/>
      </w:pPr>
      <w:bookmarkStart w:id="0" w:name="_GoBack"/>
      <w:bookmarkEnd w:id="0"/>
    </w:p>
    <w:p w:rsidR="00F054CE" w:rsidRDefault="003A0F77">
      <w:pPr>
        <w:pStyle w:val="Textbody"/>
        <w:spacing w:before="567" w:after="0"/>
        <w:ind w:left="680"/>
      </w:pPr>
      <w:r>
        <w:t>EM n</w:t>
      </w:r>
      <w:r>
        <w:rPr>
          <w:strike/>
        </w:rPr>
        <w:t>º</w:t>
      </w:r>
      <w:r>
        <w:t xml:space="preserve"> 00049/2024 MPO</w:t>
      </w:r>
    </w:p>
    <w:p w:rsidR="00F054CE" w:rsidRDefault="003A0F77">
      <w:pPr>
        <w:pStyle w:val="Textbody"/>
      </w:pPr>
      <w:r>
        <w:t> </w:t>
      </w:r>
    </w:p>
    <w:p w:rsidR="00F054CE" w:rsidRDefault="003A0F77">
      <w:pPr>
        <w:pStyle w:val="PreformattedText"/>
        <w:spacing w:after="1701"/>
        <w:jc w:val="right"/>
        <w:rPr>
          <w:rFonts w:ascii="Times New Roman" w:hAnsi="Times New Roman"/>
          <w:sz w:val="24"/>
        </w:rPr>
      </w:pPr>
      <w:r>
        <w:rPr>
          <w:rFonts w:ascii="Times New Roman" w:hAnsi="Times New Roman"/>
          <w:sz w:val="24"/>
        </w:rPr>
        <w:t>Brasília, 1 de Julho de 2024</w:t>
      </w:r>
    </w:p>
    <w:p w:rsidR="00F054CE" w:rsidRDefault="003A0F77">
      <w:pPr>
        <w:pStyle w:val="Textbody"/>
        <w:spacing w:before="113" w:after="567"/>
        <w:ind w:firstLine="1134"/>
      </w:pPr>
      <w:r>
        <w:t>Senhor Presidente da República,</w:t>
      </w:r>
    </w:p>
    <w:p w:rsidR="00F054CE" w:rsidRDefault="003A0F77">
      <w:pPr>
        <w:pStyle w:val="Textbody"/>
        <w:spacing w:after="200"/>
        <w:jc w:val="both"/>
      </w:pPr>
      <w:r>
        <w:t>1.                Proponho a edição de Medida Provisória que abre crédito extraordinário, no valor de R$ 2.036.694.007,00 (dois bilhões, trinta e seis milhões, seiscentos e noventa e quatro mil e sete reais), em favor da Justiça Federal, da Defensoria Pública da União, do Ministério do Trabalho e Emprego, e de Encargos Financeiros da União, conforme Quadro Anexo a esta Exposição de Motivos.</w:t>
      </w:r>
    </w:p>
    <w:p w:rsidR="00F054CE" w:rsidRDefault="003A0F77">
      <w:pPr>
        <w:pStyle w:val="Textbody"/>
        <w:spacing w:after="200"/>
        <w:jc w:val="both"/>
      </w:pPr>
      <w:r>
        <w:t>2.                Cumpre reforçar, inicialmente, que o Estado do Rio Grande do Sul está passando por grande calamidade decorrente de desastres naturais de enormes proporções, com o cenário recente das chuvas intensas ocorridas entre os meses de abril e maio. A situação exige do Governo uma ação urgente para o atendimento das famílias atingidas por esses eventos climáticos extremos, assim como aos danos à infraestrutura dos serviços públicos, com forte impacto social e na economia local.</w:t>
      </w:r>
    </w:p>
    <w:p w:rsidR="00F054CE" w:rsidRDefault="003A0F77">
      <w:pPr>
        <w:pStyle w:val="Textbody"/>
        <w:spacing w:after="200"/>
        <w:jc w:val="both"/>
      </w:pPr>
      <w:r>
        <w:t>3.                Vale frisar que a ocorrência de desastres naturais de grandes proporções interrompe a atividade econômica na região em que ocorrem, danifica infraestruturas, destrói estabelecimentos e estoques, prejudicando e desestruturando sua economia. Ademais, a ocorrência de eventos climáticos extremos prejudica parte expressiva da população, principalmente com a privação de suas condições de habitação e de seu patrimônio material mais relevante.</w:t>
      </w:r>
    </w:p>
    <w:p w:rsidR="00F054CE" w:rsidRDefault="003A0F77">
      <w:pPr>
        <w:pStyle w:val="Textbody"/>
        <w:spacing w:after="200"/>
        <w:jc w:val="both"/>
      </w:pPr>
      <w:r>
        <w:t>4.                É importante mencionar, ainda, que o resultado do evento climático foi particularmente deletério para a população de baixa renda, cujo patrimônio foi fortemente comprometido, principalmente pelo fato de a habitação de muitos moradores ter sido danificada, parte delas de forma permanente e irrecuperável.</w:t>
      </w:r>
    </w:p>
    <w:p w:rsidR="00F054CE" w:rsidRDefault="003A0F77">
      <w:pPr>
        <w:pStyle w:val="Textbody"/>
        <w:spacing w:after="200"/>
        <w:jc w:val="both"/>
      </w:pPr>
      <w:r>
        <w:t>5.                Nesse contexto, a presente proposta destina-se a prover recursos extraordinários para o atendimento de medidas emergenciais a cargo dos órgãos envolvidos, a saber:</w:t>
      </w:r>
    </w:p>
    <w:p w:rsidR="00F054CE" w:rsidRDefault="003A0F77">
      <w:pPr>
        <w:pStyle w:val="Textbody"/>
        <w:spacing w:after="200"/>
        <w:ind w:firstLine="1134"/>
        <w:jc w:val="both"/>
      </w:pPr>
      <w:r>
        <w:t>                    a) Justiça Federal: a recuperação de suas unidades no Rio Grande Sul, no âmbito da Justiça Federal de Primeiro Grau e do Tribunal Regional Federal da 4ª Região. De acordo com a Nota Técnica do Tribunal Regional em comento, de 18 de junho de 2024, os imóveis que abrigam as sedes do TRF da 4ª Região e da Seção Judiciária do Rio Grande do Sul se encontram localizados em área extremamente afetada pelas águas resultantes das inundações, sofrendo severos danos às suas instalações prediais, ainda sem condições de funcionamento dada a precariedade da infraestrutura no local. Além disso, informam que ocorreram significativos prejuízos em equipamentos diversos, tais como elevadores, geradores, instalações do “Datacenter”, bem como danos irrecuperáveis de bens móveis, diversas instalações de funcionamento, perda de materiais de almoxarifado, entre outros.</w:t>
      </w:r>
    </w:p>
    <w:p w:rsidR="00F054CE" w:rsidRDefault="003A0F77">
      <w:pPr>
        <w:pStyle w:val="Textbody"/>
        <w:spacing w:after="200"/>
        <w:ind w:firstLine="1134"/>
        <w:jc w:val="both"/>
      </w:pPr>
      <w:r>
        <w:t xml:space="preserve">                    b) Defensoria Pública União - DPU: o fortalecimento da prestação de assistência jurídica integral e gratuita às pessoas residentes nos municípios do Estado do Rio Grande </w:t>
      </w:r>
      <w:r>
        <w:lastRenderedPageBreak/>
        <w:t>do Sul afetados pelas enchentes. Nessa perspectiva, a atuação será em 2 (dois) eixos: o primeiro, a partir de uma estratégia virtual pelo fortalecimento da central de atendimento da DPU, por meio de demanda espontânea; e o segundo, pela busca ativa de pessoas em estado de vulnerabilidade com missões itinerantes.</w:t>
      </w:r>
    </w:p>
    <w:p w:rsidR="00F054CE" w:rsidRDefault="003A0F77">
      <w:pPr>
        <w:pStyle w:val="Textbody"/>
        <w:spacing w:after="200"/>
        <w:ind w:firstLine="1134"/>
        <w:jc w:val="both"/>
      </w:pPr>
      <w:r>
        <w:t>Vale destacar que, em 21 de maio de 2024, foi aprovada a Medida Provisória nº 1.223, a qual destinou recursos da ordem de R$ 13.831.693,00 (treze milhões, oitocentos e trinta e um mil, seiscentos e noventa e três reais) para a DPU, que se mostraram insuficientes, tendo em vista que o projeto inicial partiu da premissa de que o Aeroporto Salgado Filho poderia ser reaberto até o final de agosto. Contudo, tal previsão não se concretizou e os voos de chegada para as missões da Defensoria tiveram que ser transferidos para Florianópolis - SC, com posterior deslocamento terrestre até Porto Alegre. Ressalta-se que a Defensoria Pública-Geral da União criou uma comissão especial por meio da Portaria GABDPGF DPGU nº 595, de 2 de maio de 2024, para a assistência à população atingida naquele Estado, cujo objetivo é atender de forma prioritária as pessoas atingidas pelas enchentes, criar interface com a União, o governo estadual e as prefeituras na busca de soluções administrativas para os problemas encontrados, manter contato direto com o Poder Judiciário, o Ministério Público e a Defensoria Pública Estadual para atuação conjunta, e sistematizar as informações das medidas sociais já disponibilizadas.</w:t>
      </w:r>
    </w:p>
    <w:p w:rsidR="00F054CE" w:rsidRDefault="003A0F77">
      <w:pPr>
        <w:pStyle w:val="Textbody"/>
        <w:spacing w:after="200"/>
        <w:ind w:firstLine="1134"/>
        <w:jc w:val="both"/>
      </w:pPr>
      <w:r>
        <w:t>                    c) Ministério do Trabalho e Emprego - MTE: as despesas relativas ao apoio financeiro a trabalhadores com vínculo formal de emprego, a trabalhadores domésticos e a pescadores profissionais artesanais residentes em áreas em situação de calamidade pública, o qual será constituído de duas parcelas no valor de R$ 1.412,00 (um mil, quatrocentos e doze reais) cada, a ser concedido nos meses de julho e agosto deste ano, conforme estabelecido pelas Medidas Provisórias - MPs nº 1.230, de 7 de junho de 2024, e nº 1.234, de 18 de junho de 2024, com o objetivo de enfrentar a calamidade pública ou situação de emergência, reconhecidas pelo Poder Público Federal, e as suas consequências sociais e econômicas decorrentes dos mencionados eventos climáticos. Em seu art. 8º, a MP nº 1.230, de 2024, determina que a operacionalização do apoio financeiro ficará sob responsabilidade do MTE, e o pagamento será efetuado pela Caixa Econômica Federal - CEF, como agente pagador, providenciando a abertura de contas poupança social digital e o depósito dos valores aos beneficiários. A Empresa de Processamento de Dados da Previdência Social – DATAPREV, por sua vez, foi contratada para a execução de serviços tecnológicos necessários à operacionalização das mencionadas MPs.</w:t>
      </w:r>
    </w:p>
    <w:p w:rsidR="00F054CE" w:rsidRDefault="003A0F77">
      <w:pPr>
        <w:pStyle w:val="Textbody"/>
        <w:spacing w:after="200"/>
        <w:ind w:firstLine="1134"/>
        <w:jc w:val="both"/>
      </w:pPr>
      <w:r>
        <w:t>                    d) Encargos Financeiros da União, em Recursos sob Supervisão do Ministério da Fazenda, as despesas com indenizações e restituições relativas ao Programa de Garantia da Atividade Agropecuária - PROAGRO, no valor de R$ 800.000.000,00 (oitocentos milhões de reais).</w:t>
      </w:r>
    </w:p>
    <w:p w:rsidR="00F054CE" w:rsidRDefault="003A0F77">
      <w:pPr>
        <w:pStyle w:val="Textbody"/>
        <w:spacing w:after="200"/>
        <w:jc w:val="both"/>
      </w:pPr>
      <w:r>
        <w:t>6.                Destaca-se a edição do Decreto Legislativo nº 36, de 7 de maio de 2024, que reconhece, para os fins do disposto no art. 65 da Lei Complementar nº 101, de 4 de maio de 2000 (Lei de Responsabilidade Fiscal), a ocorrência do estado de calamidade pública em parte do território nacional, até 31 de dezembro de 2024, para atendimento às consequências derivadas de eventos climáticos no Estado do Rio Grande do Sul, destacando o seu art. 2º, a seguir transcrito:</w:t>
      </w:r>
    </w:p>
    <w:p w:rsidR="00F054CE" w:rsidRDefault="003A0F77">
      <w:pPr>
        <w:pStyle w:val="Textbody"/>
        <w:spacing w:after="200"/>
        <w:ind w:firstLine="1134"/>
        <w:jc w:val="both"/>
      </w:pPr>
      <w:r>
        <w:t>“</w:t>
      </w:r>
      <w:r>
        <w:rPr>
          <w:i/>
        </w:rPr>
        <w:t>Art. 2º A União fica autorizada a não computar exclusivamente as despesas autorizadas por meio de crédito extraordinário e as renúncias fiscais necessárias para o enfrentamento da calamidade pública e das suas consequências sociais e econômicas, no atingimento dos resultados fiscais e na realização de limitação de empenho prevista no art. 9º da Lei Complementar nº 101, de 4 de maio de 2000 (Lei de Responsabilidade Fiscal).” (grifo nosso)</w:t>
      </w:r>
    </w:p>
    <w:p w:rsidR="00F054CE" w:rsidRDefault="003A0F77">
      <w:pPr>
        <w:pStyle w:val="Textbody"/>
        <w:spacing w:after="200"/>
        <w:jc w:val="both"/>
      </w:pPr>
      <w:r>
        <w:t>7.                A urgência e relevância deste crédito extraordinário são justificadas pela exigência premente de atendimento às consequências do mencionado desastre, que gerou prejuízos sem precedentes, em sua extensão, prejudicando de forma intensa e inesperada a população e as atividades econômicas da região. Portanto, a situação gera a necessidade de resposta imediata das autoridades públicas, visto que, além de atingir todos os aspectos da vida dos moradores dos locais afetados, também se reflete na economia local.</w:t>
      </w:r>
    </w:p>
    <w:p w:rsidR="00F054CE" w:rsidRDefault="003A0F77">
      <w:pPr>
        <w:pStyle w:val="Textbody"/>
        <w:spacing w:after="200"/>
        <w:jc w:val="both"/>
      </w:pPr>
      <w:r>
        <w:t>8.                Em relação ao quesito imprevisibilidade desta Medida, deve-se à ocorrência de desastres naturais graves, principalmente resultantes de chuvas intensas, de consequências imprevisíveis para a ordem pública e a paz social, haja vista o reconhecimento da ocorrência de calamidade pública pelo Decreto Legislativo nº 36, de 2024, elevando, assim, a demanda por ações de resposta e recuperação em volume inesperado.</w:t>
      </w:r>
    </w:p>
    <w:p w:rsidR="00F054CE" w:rsidRDefault="003A0F77">
      <w:pPr>
        <w:pStyle w:val="Textbody"/>
        <w:spacing w:after="200"/>
        <w:jc w:val="both"/>
      </w:pPr>
      <w:r>
        <w:t>9.                Ressalta-se, portanto, que a proposição está em conformidade com as prescrições do art. 62, combinado com o § 3º do art. 167, da Constituição.</w:t>
      </w:r>
    </w:p>
    <w:p w:rsidR="00F054CE" w:rsidRDefault="003A0F77">
      <w:pPr>
        <w:pStyle w:val="Textbody"/>
        <w:spacing w:after="200"/>
        <w:jc w:val="both"/>
      </w:pPr>
      <w:r>
        <w:t>10.              Cabe frisar que os recursos da presente Medida serão totalmente utilizados para atender a atual situação de emergência, e, desse modo, adstritos à calamidade pública de que trata o citado Decreto Legislativo nº 36, de 2024.</w:t>
      </w:r>
    </w:p>
    <w:p w:rsidR="00F054CE" w:rsidRDefault="003A0F77">
      <w:pPr>
        <w:pStyle w:val="Textbody"/>
        <w:spacing w:after="200"/>
        <w:jc w:val="both"/>
      </w:pPr>
      <w:r>
        <w:t>11.              Em atendimento ao disposto no § 15 do art. 54 da Lei nº 14.791, de 29 de dezembro de 2023, Lei de Diretrizes Orçamentárias para 2024, LDO-2024, seguem, em anexo, os demonstrativos do superávit financeiro apurado no balanço patrimonial de 2023, relativo a Recursos Livres da União, a Recursos Próprios Livres da UO e a Recursos Livres da UO, e do excesso de arrecadação de Recursos Livres da UO, utilizados nesta Medida.</w:t>
      </w:r>
    </w:p>
    <w:p w:rsidR="00F054CE" w:rsidRDefault="003A0F77">
      <w:pPr>
        <w:pStyle w:val="Textbody"/>
        <w:spacing w:after="200"/>
        <w:jc w:val="both"/>
      </w:pPr>
      <w:r>
        <w:t>12.              Nessas condições, submeto à sua consideração, em anexo, proposta de Medida Provisória, que visa efetivar a abertura do referido crédito extraordinário.</w:t>
      </w:r>
    </w:p>
    <w:p w:rsidR="00F054CE" w:rsidRDefault="003A0F77">
      <w:pPr>
        <w:pStyle w:val="Textbody"/>
        <w:spacing w:after="1417"/>
        <w:ind w:firstLine="1134"/>
      </w:pPr>
      <w:r>
        <w:t>Respeitosamente,</w:t>
      </w:r>
    </w:p>
    <w:p w:rsidR="00F054CE" w:rsidRDefault="00F054CE">
      <w:pPr>
        <w:pStyle w:val="Textbody"/>
        <w:spacing w:after="0"/>
        <w:jc w:val="center"/>
      </w:pPr>
    </w:p>
    <w:p w:rsidR="00F054CE" w:rsidRDefault="003A0F77">
      <w:pPr>
        <w:pStyle w:val="Textbody"/>
      </w:pPr>
      <w:r>
        <w:t> </w:t>
      </w:r>
    </w:p>
    <w:p w:rsidR="00F054CE" w:rsidRDefault="003A0F77">
      <w:pPr>
        <w:pStyle w:val="Textbody"/>
      </w:pPr>
      <w:r>
        <w:t> </w:t>
      </w: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F054CE" w:rsidRDefault="00F054CE">
      <w:pPr>
        <w:pStyle w:val="Standard"/>
        <w:ind w:left="567" w:right="284"/>
        <w:rPr>
          <w:b/>
        </w:rPr>
      </w:pPr>
    </w:p>
    <w:p w:rsidR="00993488" w:rsidRDefault="003A0F77">
      <w:pPr>
        <w:ind w:right="-1"/>
        <w:jc w:val="center"/>
        <w:rPr>
          <w:rFonts w:ascii="Calibri" w:hAnsi="Calibri" w:cs="Calibri"/>
        </w:rPr>
      </w:pPr>
      <w:r>
        <w:rPr>
          <w:b/>
          <w:i/>
          <w:sz w:val="22"/>
        </w:rPr>
        <w:t>Assinado eletronicamente por: Simone Nassar Tebet</w:t>
      </w:r>
      <w:r>
        <w:rPr>
          <w:b/>
          <w:i/>
          <w:sz w:val="22"/>
        </w:rPr>
        <w:br w:type="page"/>
      </w:r>
      <w:r w:rsidR="00993488">
        <w:rPr>
          <w:rFonts w:ascii="Calibri" w:hAnsi="Calibri" w:cs="Calibri"/>
          <w:spacing w:val="-3"/>
        </w:rPr>
        <w:t>QUADRO ANEXO À EXPOSIÇÃO DE MOTIVOS DO MINISTÉRIO DO PLANEJAMENTO E ORÇAMENTO N</w:t>
      </w:r>
      <w:r w:rsidR="00993488">
        <w:rPr>
          <w:rFonts w:ascii="Calibri" w:hAnsi="Calibri" w:cs="Calibri"/>
        </w:rPr>
        <w:t>º</w:t>
      </w:r>
      <w:r w:rsidR="00993488">
        <w:rPr>
          <w:rFonts w:ascii="Calibri" w:hAnsi="Calibri" w:cs="Calibri"/>
          <w:spacing w:val="-3"/>
        </w:rPr>
        <w:t xml:space="preserve"> 49, DE 1º/07/2024.</w:t>
      </w:r>
    </w:p>
    <w:p w:rsidR="00993488" w:rsidRDefault="00993488">
      <w:pPr>
        <w:jc w:val="right"/>
        <w:rPr>
          <w:rFonts w:ascii="Calibri" w:hAnsi="Calibri" w:cs="Calibri"/>
        </w:rPr>
      </w:pPr>
    </w:p>
    <w:p w:rsidR="00993488" w:rsidRDefault="00993488">
      <w:pPr>
        <w:jc w:val="right"/>
        <w:rPr>
          <w:rFonts w:ascii="Calibri" w:hAnsi="Calibri" w:cs="Calibri"/>
        </w:rPr>
      </w:pPr>
    </w:p>
    <w:p w:rsidR="00993488" w:rsidRDefault="00993488">
      <w:pPr>
        <w:jc w:val="right"/>
        <w:rPr>
          <w:rFonts w:ascii="Calibri" w:hAnsi="Calibri" w:cs="Calibri"/>
          <w:b/>
          <w:bCs/>
          <w:color w:val="000000"/>
        </w:rPr>
      </w:pPr>
      <w:r>
        <w:rPr>
          <w:rFonts w:ascii="Calibri" w:hAnsi="Calibri" w:cs="Calibri"/>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22"/>
        <w:gridCol w:w="1793"/>
        <w:gridCol w:w="1730"/>
      </w:tblGrid>
      <w:tr w:rsidR="00993488">
        <w:trPr>
          <w:trHeight w:val="630"/>
        </w:trPr>
        <w:tc>
          <w:tcPr>
            <w:tcW w:w="6022" w:type="dxa"/>
            <w:tcBorders>
              <w:top w:val="single" w:sz="4" w:space="0" w:color="000000"/>
              <w:bottom w:val="single" w:sz="4" w:space="0" w:color="000000"/>
              <w:right w:val="single" w:sz="4" w:space="0" w:color="000000"/>
            </w:tcBorders>
            <w:shd w:val="clear" w:color="auto" w:fill="FFFFFF"/>
            <w:vAlign w:val="center"/>
          </w:tcPr>
          <w:p w:rsidR="00993488" w:rsidRDefault="00993488">
            <w:pPr>
              <w:jc w:val="center"/>
            </w:pPr>
            <w:r>
              <w:rPr>
                <w:rFonts w:ascii="Calibri" w:hAnsi="Calibri" w:cs="Calibri"/>
                <w:b/>
                <w:bCs/>
                <w:color w:val="000000"/>
              </w:rPr>
              <w:t>Discriminação</w:t>
            </w:r>
          </w:p>
        </w:tc>
        <w:tc>
          <w:tcPr>
            <w:tcW w:w="1793" w:type="dxa"/>
            <w:tcBorders>
              <w:top w:val="single" w:sz="4" w:space="0" w:color="000000"/>
              <w:bottom w:val="single" w:sz="4" w:space="0" w:color="000000"/>
              <w:right w:val="single" w:sz="4" w:space="0" w:color="000000"/>
            </w:tcBorders>
            <w:shd w:val="clear" w:color="auto" w:fill="FFFFFF"/>
            <w:vAlign w:val="center"/>
          </w:tcPr>
          <w:p w:rsidR="00993488" w:rsidRDefault="00993488">
            <w:pPr>
              <w:jc w:val="center"/>
            </w:pPr>
            <w:r>
              <w:rPr>
                <w:rFonts w:ascii="Calibri" w:hAnsi="Calibri" w:cs="Calibri"/>
                <w:b/>
                <w:bCs/>
                <w:color w:val="000000"/>
              </w:rPr>
              <w:t>Aplicação</w:t>
            </w:r>
          </w:p>
        </w:tc>
        <w:tc>
          <w:tcPr>
            <w:tcW w:w="1730" w:type="dxa"/>
            <w:tcBorders>
              <w:top w:val="single" w:sz="4" w:space="0" w:color="000000"/>
              <w:bottom w:val="single" w:sz="4" w:space="0" w:color="000000"/>
            </w:tcBorders>
            <w:shd w:val="clear" w:color="auto" w:fill="FFFFFF"/>
            <w:vAlign w:val="center"/>
          </w:tcPr>
          <w:p w:rsidR="00993488" w:rsidRDefault="00993488">
            <w:pPr>
              <w:jc w:val="center"/>
            </w:pPr>
            <w:r>
              <w:rPr>
                <w:rFonts w:ascii="Calibri" w:hAnsi="Calibri" w:cs="Calibri"/>
                <w:b/>
                <w:bCs/>
                <w:color w:val="000000"/>
              </w:rPr>
              <w:t>Origem dos Recursos</w:t>
            </w:r>
          </w:p>
        </w:tc>
      </w:tr>
      <w:tr w:rsidR="00993488">
        <w:trPr>
          <w:trHeight w:val="284"/>
        </w:trPr>
        <w:tc>
          <w:tcPr>
            <w:tcW w:w="6022" w:type="dxa"/>
            <w:tcBorders>
              <w:right w:val="single" w:sz="4" w:space="0" w:color="000000"/>
            </w:tcBorders>
            <w:shd w:val="clear" w:color="auto" w:fill="FFFFFF"/>
          </w:tcPr>
          <w:p w:rsidR="00993488" w:rsidRDefault="00993488">
            <w:pPr>
              <w:rPr>
                <w:rFonts w:ascii="Calibri" w:hAnsi="Calibri" w:cs="Calibri"/>
                <w:b/>
                <w:bCs/>
              </w:rPr>
            </w:pPr>
          </w:p>
        </w:tc>
        <w:tc>
          <w:tcPr>
            <w:tcW w:w="1793" w:type="dxa"/>
            <w:tcBorders>
              <w:right w:val="single" w:sz="4" w:space="0" w:color="000000"/>
            </w:tcBorders>
            <w:shd w:val="clear" w:color="auto" w:fill="FFFFFF"/>
          </w:tcPr>
          <w:p w:rsidR="00993488" w:rsidRDefault="00993488">
            <w:pPr>
              <w:jc w:val="right"/>
              <w:rPr>
                <w:rFonts w:ascii="Calibri" w:hAnsi="Calibri" w:cs="Calibri"/>
                <w:b/>
                <w:bCs/>
              </w:rPr>
            </w:pPr>
          </w:p>
        </w:tc>
        <w:tc>
          <w:tcPr>
            <w:tcW w:w="1730" w:type="dxa"/>
            <w:shd w:val="clear" w:color="auto" w:fill="FFFFFF"/>
          </w:tcPr>
          <w:p w:rsidR="00993488" w:rsidRDefault="00993488">
            <w:pPr>
              <w:jc w:val="right"/>
              <w:rPr>
                <w:rFonts w:ascii="Calibri" w:hAnsi="Calibri" w:cs="Calibri"/>
                <w:b/>
                <w:bCs/>
                <w:color w:val="000000"/>
              </w:rPr>
            </w:pP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
                <w:bCs/>
              </w:rPr>
              <w:t>Justiça Federal</w:t>
            </w:r>
          </w:p>
        </w:tc>
        <w:tc>
          <w:tcPr>
            <w:tcW w:w="1793" w:type="dxa"/>
            <w:tcBorders>
              <w:right w:val="single" w:sz="4" w:space="0" w:color="000000"/>
            </w:tcBorders>
            <w:shd w:val="clear" w:color="auto" w:fill="FFFFFF"/>
          </w:tcPr>
          <w:p w:rsidR="00993488" w:rsidRDefault="00993488">
            <w:pPr>
              <w:jc w:val="right"/>
            </w:pPr>
            <w:r>
              <w:rPr>
                <w:rFonts w:ascii="Calibri" w:hAnsi="Calibri" w:cs="Calibri"/>
                <w:b/>
                <w:bCs/>
              </w:rPr>
              <w:t>15.376.000</w:t>
            </w:r>
          </w:p>
        </w:tc>
        <w:tc>
          <w:tcPr>
            <w:tcW w:w="1730" w:type="dxa"/>
            <w:shd w:val="clear" w:color="auto" w:fill="FFFFFF"/>
          </w:tcPr>
          <w:p w:rsidR="00993488" w:rsidRDefault="00993488">
            <w:pPr>
              <w:jc w:val="right"/>
            </w:pPr>
            <w:r>
              <w:rPr>
                <w:rFonts w:ascii="Calibri" w:hAnsi="Calibri" w:cs="Calibri"/>
                <w:b/>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Justiça Federal de Primeiro Grau</w:t>
            </w:r>
          </w:p>
        </w:tc>
        <w:tc>
          <w:tcPr>
            <w:tcW w:w="1793" w:type="dxa"/>
            <w:tcBorders>
              <w:right w:val="single" w:sz="4" w:space="0" w:color="000000"/>
            </w:tcBorders>
            <w:shd w:val="clear" w:color="auto" w:fill="FFFFFF"/>
          </w:tcPr>
          <w:p w:rsidR="00993488" w:rsidRDefault="00993488">
            <w:pPr>
              <w:jc w:val="right"/>
            </w:pPr>
            <w:r>
              <w:rPr>
                <w:rFonts w:ascii="Calibri" w:hAnsi="Calibri" w:cs="Calibri"/>
              </w:rPr>
              <w:t>8.460.000</w:t>
            </w:r>
          </w:p>
        </w:tc>
        <w:tc>
          <w:tcPr>
            <w:tcW w:w="1730" w:type="dxa"/>
            <w:shd w:val="clear" w:color="auto" w:fill="FFFFFF"/>
          </w:tcPr>
          <w:p w:rsidR="00993488" w:rsidRDefault="00993488">
            <w:pPr>
              <w:jc w:val="right"/>
            </w:pPr>
            <w:r>
              <w:rPr>
                <w:rFonts w:ascii="Calibri" w:hAnsi="Calibri" w:cs="Calibri"/>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Tribunal Regional Federal da 4a. Região</w:t>
            </w:r>
          </w:p>
        </w:tc>
        <w:tc>
          <w:tcPr>
            <w:tcW w:w="1793" w:type="dxa"/>
            <w:tcBorders>
              <w:right w:val="single" w:sz="4" w:space="0" w:color="000000"/>
            </w:tcBorders>
            <w:shd w:val="clear" w:color="auto" w:fill="FFFFFF"/>
          </w:tcPr>
          <w:p w:rsidR="00993488" w:rsidRDefault="00993488">
            <w:pPr>
              <w:jc w:val="right"/>
            </w:pPr>
            <w:r>
              <w:rPr>
                <w:rFonts w:ascii="Calibri" w:hAnsi="Calibri" w:cs="Calibri"/>
              </w:rPr>
              <w:t>6.916.000</w:t>
            </w:r>
          </w:p>
        </w:tc>
        <w:tc>
          <w:tcPr>
            <w:tcW w:w="1730" w:type="dxa"/>
            <w:shd w:val="clear" w:color="auto" w:fill="FFFFFF"/>
          </w:tcPr>
          <w:p w:rsidR="00993488" w:rsidRDefault="00993488">
            <w:pPr>
              <w:jc w:val="right"/>
            </w:pPr>
            <w:r>
              <w:rPr>
                <w:rFonts w:ascii="Calibri" w:hAnsi="Calibri" w:cs="Calibri"/>
                <w:color w:val="000000"/>
              </w:rPr>
              <w:t>0</w:t>
            </w:r>
          </w:p>
        </w:tc>
      </w:tr>
      <w:tr w:rsidR="00993488">
        <w:trPr>
          <w:trHeight w:val="284"/>
        </w:trPr>
        <w:tc>
          <w:tcPr>
            <w:tcW w:w="6022" w:type="dxa"/>
            <w:tcBorders>
              <w:right w:val="single" w:sz="4" w:space="0" w:color="000000"/>
            </w:tcBorders>
            <w:shd w:val="clear" w:color="auto" w:fill="FFFFFF"/>
          </w:tcPr>
          <w:p w:rsidR="00993488" w:rsidRDefault="00993488">
            <w:pPr>
              <w:rPr>
                <w:rFonts w:ascii="Calibri" w:hAnsi="Calibri" w:cs="Calibri"/>
              </w:rPr>
            </w:pPr>
          </w:p>
        </w:tc>
        <w:tc>
          <w:tcPr>
            <w:tcW w:w="1793" w:type="dxa"/>
            <w:tcBorders>
              <w:right w:val="single" w:sz="4" w:space="0" w:color="000000"/>
            </w:tcBorders>
            <w:shd w:val="clear" w:color="auto" w:fill="FFFFFF"/>
          </w:tcPr>
          <w:p w:rsidR="00993488" w:rsidRDefault="00993488">
            <w:pPr>
              <w:jc w:val="right"/>
              <w:rPr>
                <w:rFonts w:ascii="Calibri" w:hAnsi="Calibri" w:cs="Calibri"/>
              </w:rPr>
            </w:pPr>
          </w:p>
        </w:tc>
        <w:tc>
          <w:tcPr>
            <w:tcW w:w="1730" w:type="dxa"/>
            <w:shd w:val="clear" w:color="auto" w:fill="FFFFFF"/>
          </w:tcPr>
          <w:p w:rsidR="00993488" w:rsidRDefault="00993488">
            <w:pPr>
              <w:jc w:val="right"/>
              <w:rPr>
                <w:rFonts w:ascii="Calibri" w:hAnsi="Calibri" w:cs="Calibri"/>
                <w:bCs/>
                <w:color w:val="000000"/>
              </w:rPr>
            </w:pP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
                <w:bCs/>
              </w:rPr>
              <w:t>Defensoria Pública da União</w:t>
            </w:r>
          </w:p>
        </w:tc>
        <w:tc>
          <w:tcPr>
            <w:tcW w:w="1793" w:type="dxa"/>
            <w:tcBorders>
              <w:right w:val="single" w:sz="4" w:space="0" w:color="000000"/>
            </w:tcBorders>
            <w:shd w:val="clear" w:color="auto" w:fill="FFFFFF"/>
          </w:tcPr>
          <w:p w:rsidR="00993488" w:rsidRDefault="00993488">
            <w:pPr>
              <w:jc w:val="right"/>
            </w:pPr>
            <w:r>
              <w:rPr>
                <w:rFonts w:ascii="Calibri" w:hAnsi="Calibri" w:cs="Calibri"/>
                <w:b/>
                <w:bCs/>
              </w:rPr>
              <w:t>950.306</w:t>
            </w:r>
          </w:p>
        </w:tc>
        <w:tc>
          <w:tcPr>
            <w:tcW w:w="1730" w:type="dxa"/>
            <w:shd w:val="clear" w:color="auto" w:fill="FFFFFF"/>
          </w:tcPr>
          <w:p w:rsidR="00993488" w:rsidRDefault="00993488">
            <w:pPr>
              <w:jc w:val="right"/>
            </w:pPr>
            <w:r>
              <w:rPr>
                <w:rFonts w:ascii="Calibri" w:hAnsi="Calibri" w:cs="Calibri"/>
                <w:b/>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Defensoria Pública da União</w:t>
            </w:r>
          </w:p>
        </w:tc>
        <w:tc>
          <w:tcPr>
            <w:tcW w:w="1793" w:type="dxa"/>
            <w:tcBorders>
              <w:right w:val="single" w:sz="4" w:space="0" w:color="000000"/>
            </w:tcBorders>
            <w:shd w:val="clear" w:color="auto" w:fill="FFFFFF"/>
          </w:tcPr>
          <w:p w:rsidR="00993488" w:rsidRDefault="00993488">
            <w:pPr>
              <w:jc w:val="right"/>
            </w:pPr>
            <w:r>
              <w:rPr>
                <w:rFonts w:ascii="Calibri" w:hAnsi="Calibri" w:cs="Calibri"/>
              </w:rPr>
              <w:t>950.306</w:t>
            </w:r>
          </w:p>
        </w:tc>
        <w:tc>
          <w:tcPr>
            <w:tcW w:w="1730" w:type="dxa"/>
            <w:shd w:val="clear" w:color="auto" w:fill="FFFFFF"/>
          </w:tcPr>
          <w:p w:rsidR="00993488" w:rsidRDefault="00993488">
            <w:pPr>
              <w:jc w:val="right"/>
            </w:pPr>
            <w:r>
              <w:rPr>
                <w:rFonts w:ascii="Calibri" w:hAnsi="Calibri" w:cs="Calibri"/>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pPr>
              <w:rPr>
                <w:rFonts w:ascii="Calibri" w:hAnsi="Calibri" w:cs="Calibri"/>
              </w:rPr>
            </w:pPr>
          </w:p>
        </w:tc>
        <w:tc>
          <w:tcPr>
            <w:tcW w:w="1793" w:type="dxa"/>
            <w:tcBorders>
              <w:right w:val="single" w:sz="4" w:space="0" w:color="000000"/>
            </w:tcBorders>
            <w:shd w:val="clear" w:color="auto" w:fill="FFFFFF"/>
          </w:tcPr>
          <w:p w:rsidR="00993488" w:rsidRDefault="00993488">
            <w:pPr>
              <w:jc w:val="right"/>
              <w:rPr>
                <w:rFonts w:ascii="Calibri" w:hAnsi="Calibri" w:cs="Calibri"/>
              </w:rPr>
            </w:pPr>
          </w:p>
        </w:tc>
        <w:tc>
          <w:tcPr>
            <w:tcW w:w="1730" w:type="dxa"/>
            <w:shd w:val="clear" w:color="auto" w:fill="FFFFFF"/>
          </w:tcPr>
          <w:p w:rsidR="00993488" w:rsidRDefault="00993488">
            <w:pPr>
              <w:jc w:val="right"/>
              <w:rPr>
                <w:rFonts w:ascii="Calibri" w:hAnsi="Calibri" w:cs="Calibri"/>
                <w:bCs/>
                <w:color w:val="000000"/>
              </w:rPr>
            </w:pP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
                <w:bCs/>
              </w:rPr>
              <w:t>Ministério do Trabalho e Emprego</w:t>
            </w:r>
          </w:p>
        </w:tc>
        <w:tc>
          <w:tcPr>
            <w:tcW w:w="1793" w:type="dxa"/>
            <w:tcBorders>
              <w:right w:val="single" w:sz="4" w:space="0" w:color="000000"/>
            </w:tcBorders>
            <w:shd w:val="clear" w:color="auto" w:fill="FFFFFF"/>
          </w:tcPr>
          <w:p w:rsidR="00993488" w:rsidRDefault="00993488">
            <w:pPr>
              <w:jc w:val="right"/>
            </w:pPr>
            <w:r>
              <w:rPr>
                <w:rFonts w:ascii="Calibri" w:hAnsi="Calibri" w:cs="Calibri"/>
                <w:b/>
                <w:bCs/>
              </w:rPr>
              <w:t>1.220.367.701</w:t>
            </w:r>
          </w:p>
        </w:tc>
        <w:tc>
          <w:tcPr>
            <w:tcW w:w="1730" w:type="dxa"/>
            <w:shd w:val="clear" w:color="auto" w:fill="FFFFFF"/>
          </w:tcPr>
          <w:p w:rsidR="00993488" w:rsidRDefault="00993488">
            <w:pPr>
              <w:jc w:val="right"/>
            </w:pPr>
            <w:r>
              <w:rPr>
                <w:rFonts w:ascii="Calibri" w:hAnsi="Calibri" w:cs="Calibri"/>
                <w:b/>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Administração Direta</w:t>
            </w:r>
          </w:p>
        </w:tc>
        <w:tc>
          <w:tcPr>
            <w:tcW w:w="1793" w:type="dxa"/>
            <w:tcBorders>
              <w:right w:val="single" w:sz="4" w:space="0" w:color="000000"/>
            </w:tcBorders>
            <w:shd w:val="clear" w:color="auto" w:fill="FFFFFF"/>
          </w:tcPr>
          <w:p w:rsidR="00993488" w:rsidRDefault="00993488">
            <w:pPr>
              <w:jc w:val="right"/>
            </w:pPr>
            <w:r>
              <w:rPr>
                <w:rFonts w:ascii="Calibri" w:hAnsi="Calibri" w:cs="Calibri"/>
              </w:rPr>
              <w:t>1.220.367.701</w:t>
            </w:r>
          </w:p>
        </w:tc>
        <w:tc>
          <w:tcPr>
            <w:tcW w:w="1730" w:type="dxa"/>
            <w:shd w:val="clear" w:color="auto" w:fill="FFFFFF"/>
          </w:tcPr>
          <w:p w:rsidR="00993488" w:rsidRDefault="00993488">
            <w:pPr>
              <w:jc w:val="right"/>
            </w:pPr>
            <w:r>
              <w:rPr>
                <w:rFonts w:ascii="Calibri" w:hAnsi="Calibri" w:cs="Calibri"/>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pPr>
              <w:rPr>
                <w:rFonts w:ascii="Calibri" w:hAnsi="Calibri" w:cs="Calibri"/>
              </w:rPr>
            </w:pPr>
          </w:p>
        </w:tc>
        <w:tc>
          <w:tcPr>
            <w:tcW w:w="1793" w:type="dxa"/>
            <w:tcBorders>
              <w:right w:val="single" w:sz="4" w:space="0" w:color="000000"/>
            </w:tcBorders>
            <w:shd w:val="clear" w:color="auto" w:fill="FFFFFF"/>
          </w:tcPr>
          <w:p w:rsidR="00993488" w:rsidRDefault="00993488">
            <w:pPr>
              <w:jc w:val="right"/>
              <w:rPr>
                <w:rFonts w:ascii="Calibri" w:hAnsi="Calibri" w:cs="Calibri"/>
              </w:rPr>
            </w:pPr>
          </w:p>
        </w:tc>
        <w:tc>
          <w:tcPr>
            <w:tcW w:w="1730" w:type="dxa"/>
            <w:shd w:val="clear" w:color="auto" w:fill="FFFFFF"/>
          </w:tcPr>
          <w:p w:rsidR="00993488" w:rsidRDefault="00993488">
            <w:pPr>
              <w:jc w:val="right"/>
              <w:rPr>
                <w:rFonts w:ascii="Calibri" w:hAnsi="Calibri" w:cs="Calibri"/>
                <w:bCs/>
                <w:color w:val="000000"/>
              </w:rPr>
            </w:pP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
              </w:rPr>
              <w:t>Encargos Financeiros da União</w:t>
            </w:r>
          </w:p>
        </w:tc>
        <w:tc>
          <w:tcPr>
            <w:tcW w:w="1793" w:type="dxa"/>
            <w:tcBorders>
              <w:right w:val="single" w:sz="4" w:space="0" w:color="000000"/>
            </w:tcBorders>
            <w:shd w:val="clear" w:color="auto" w:fill="FFFFFF"/>
          </w:tcPr>
          <w:p w:rsidR="00993488" w:rsidRDefault="00993488">
            <w:pPr>
              <w:jc w:val="right"/>
            </w:pPr>
            <w:r>
              <w:rPr>
                <w:rFonts w:ascii="Calibri" w:hAnsi="Calibri" w:cs="Calibri"/>
                <w:b/>
                <w:bCs/>
              </w:rPr>
              <w:t>800.000.000</w:t>
            </w:r>
          </w:p>
        </w:tc>
        <w:tc>
          <w:tcPr>
            <w:tcW w:w="1730" w:type="dxa"/>
            <w:shd w:val="clear" w:color="auto" w:fill="FFFFFF"/>
          </w:tcPr>
          <w:p w:rsidR="00993488" w:rsidRDefault="00993488">
            <w:pPr>
              <w:jc w:val="right"/>
            </w:pPr>
            <w:r>
              <w:rPr>
                <w:rFonts w:ascii="Calibri" w:hAnsi="Calibri" w:cs="Calibri"/>
                <w:b/>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Recursos sob Supervisão do Ministério da Fazenda</w:t>
            </w:r>
          </w:p>
        </w:tc>
        <w:tc>
          <w:tcPr>
            <w:tcW w:w="1793" w:type="dxa"/>
            <w:tcBorders>
              <w:right w:val="single" w:sz="4" w:space="0" w:color="000000"/>
            </w:tcBorders>
            <w:shd w:val="clear" w:color="auto" w:fill="FFFFFF"/>
          </w:tcPr>
          <w:p w:rsidR="00993488" w:rsidRDefault="00993488">
            <w:pPr>
              <w:jc w:val="right"/>
            </w:pPr>
            <w:r>
              <w:rPr>
                <w:rFonts w:ascii="Calibri" w:hAnsi="Calibri" w:cs="Calibri"/>
              </w:rPr>
              <w:t>800.000.000</w:t>
            </w:r>
          </w:p>
        </w:tc>
        <w:tc>
          <w:tcPr>
            <w:tcW w:w="1730" w:type="dxa"/>
            <w:shd w:val="clear" w:color="auto" w:fill="FFFFFF"/>
          </w:tcPr>
          <w:p w:rsidR="00993488" w:rsidRDefault="00993488">
            <w:pPr>
              <w:jc w:val="right"/>
            </w:pPr>
            <w:r>
              <w:rPr>
                <w:rFonts w:ascii="Calibri" w:hAnsi="Calibri" w:cs="Calibri"/>
                <w:bCs/>
                <w:color w:val="000000"/>
              </w:rPr>
              <w:t>0</w:t>
            </w:r>
          </w:p>
        </w:tc>
      </w:tr>
      <w:tr w:rsidR="00993488">
        <w:trPr>
          <w:trHeight w:val="284"/>
        </w:trPr>
        <w:tc>
          <w:tcPr>
            <w:tcW w:w="6022" w:type="dxa"/>
            <w:tcBorders>
              <w:right w:val="single" w:sz="4" w:space="0" w:color="000000"/>
            </w:tcBorders>
            <w:shd w:val="clear" w:color="auto" w:fill="FFFFFF"/>
          </w:tcPr>
          <w:p w:rsidR="00993488" w:rsidRDefault="00993488">
            <w:pPr>
              <w:rPr>
                <w:rFonts w:ascii="Calibri" w:hAnsi="Calibri" w:cs="Calibri"/>
                <w:b/>
                <w:bCs/>
              </w:rPr>
            </w:pPr>
          </w:p>
        </w:tc>
        <w:tc>
          <w:tcPr>
            <w:tcW w:w="1793" w:type="dxa"/>
            <w:tcBorders>
              <w:right w:val="single" w:sz="4" w:space="0" w:color="000000"/>
            </w:tcBorders>
            <w:shd w:val="clear" w:color="auto" w:fill="FFFFFF"/>
          </w:tcPr>
          <w:p w:rsidR="00993488" w:rsidRDefault="00993488">
            <w:pPr>
              <w:jc w:val="right"/>
              <w:rPr>
                <w:rFonts w:ascii="Calibri" w:hAnsi="Calibri" w:cs="Calibri"/>
                <w:b/>
                <w:bCs/>
              </w:rPr>
            </w:pPr>
          </w:p>
        </w:tc>
        <w:tc>
          <w:tcPr>
            <w:tcW w:w="1730" w:type="dxa"/>
            <w:shd w:val="clear" w:color="auto" w:fill="FFFFFF"/>
          </w:tcPr>
          <w:p w:rsidR="00993488" w:rsidRDefault="00993488">
            <w:pPr>
              <w:jc w:val="right"/>
              <w:rPr>
                <w:rFonts w:ascii="Calibri" w:hAnsi="Calibri" w:cs="Calibri"/>
                <w:b/>
                <w:bCs/>
                <w:color w:val="000000"/>
              </w:rPr>
            </w:pP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
                <w:bCs/>
              </w:rPr>
              <w:t xml:space="preserve">Excesso de arrecadação de Recursos </w:t>
            </w:r>
            <w:r>
              <w:rPr>
                <w:rFonts w:ascii="Calibri" w:eastAsia="Calibri" w:hAnsi="Calibri" w:cs="Calibri"/>
                <w:b/>
                <w:bCs/>
                <w:color w:val="000000"/>
              </w:rPr>
              <w:t>Livres da UO</w:t>
            </w:r>
          </w:p>
        </w:tc>
        <w:tc>
          <w:tcPr>
            <w:tcW w:w="1793" w:type="dxa"/>
            <w:tcBorders>
              <w:right w:val="single" w:sz="4" w:space="0" w:color="000000"/>
            </w:tcBorders>
            <w:shd w:val="clear" w:color="auto" w:fill="FFFFFF"/>
          </w:tcPr>
          <w:p w:rsidR="00993488" w:rsidRDefault="00993488">
            <w:pPr>
              <w:jc w:val="right"/>
            </w:pPr>
            <w:r>
              <w:rPr>
                <w:rFonts w:ascii="Calibri" w:hAnsi="Calibri" w:cs="Calibri"/>
                <w:b/>
                <w:bCs/>
              </w:rPr>
              <w:t>0</w:t>
            </w:r>
          </w:p>
        </w:tc>
        <w:tc>
          <w:tcPr>
            <w:tcW w:w="1730" w:type="dxa"/>
            <w:shd w:val="clear" w:color="auto" w:fill="FFFFFF"/>
          </w:tcPr>
          <w:p w:rsidR="00993488" w:rsidRDefault="00993488">
            <w:pPr>
              <w:jc w:val="right"/>
            </w:pPr>
            <w:r>
              <w:rPr>
                <w:rFonts w:ascii="Calibri" w:hAnsi="Calibri" w:cs="Calibri"/>
                <w:b/>
                <w:bCs/>
              </w:rPr>
              <w:t>125.252.030</w:t>
            </w:r>
          </w:p>
        </w:tc>
      </w:tr>
      <w:tr w:rsidR="00993488">
        <w:trPr>
          <w:trHeight w:val="284"/>
        </w:trPr>
        <w:tc>
          <w:tcPr>
            <w:tcW w:w="6022" w:type="dxa"/>
            <w:tcBorders>
              <w:right w:val="single" w:sz="4" w:space="0" w:color="000000"/>
            </w:tcBorders>
            <w:shd w:val="clear" w:color="auto" w:fill="FFFFFF"/>
          </w:tcPr>
          <w:p w:rsidR="00993488" w:rsidRDefault="00993488">
            <w:pPr>
              <w:rPr>
                <w:rFonts w:ascii="Calibri" w:hAnsi="Calibri" w:cs="Calibri"/>
                <w:b/>
                <w:bCs/>
              </w:rPr>
            </w:pPr>
          </w:p>
        </w:tc>
        <w:tc>
          <w:tcPr>
            <w:tcW w:w="1793" w:type="dxa"/>
            <w:tcBorders>
              <w:right w:val="single" w:sz="4" w:space="0" w:color="000000"/>
            </w:tcBorders>
            <w:shd w:val="clear" w:color="auto" w:fill="FFFFFF"/>
          </w:tcPr>
          <w:p w:rsidR="00993488" w:rsidRDefault="00993488">
            <w:pPr>
              <w:jc w:val="right"/>
              <w:rPr>
                <w:rFonts w:ascii="Calibri" w:hAnsi="Calibri" w:cs="Calibri"/>
                <w:b/>
                <w:bCs/>
              </w:rPr>
            </w:pPr>
          </w:p>
        </w:tc>
        <w:tc>
          <w:tcPr>
            <w:tcW w:w="1730" w:type="dxa"/>
            <w:shd w:val="clear" w:color="auto" w:fill="FFFFFF"/>
          </w:tcPr>
          <w:p w:rsidR="00993488" w:rsidRDefault="00993488">
            <w:pPr>
              <w:jc w:val="right"/>
              <w:rPr>
                <w:rFonts w:ascii="Calibri" w:hAnsi="Calibri" w:cs="Calibri"/>
                <w:b/>
                <w:bCs/>
                <w:color w:val="000000"/>
              </w:rPr>
            </w:pP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
                <w:bCs/>
                <w:color w:val="000000"/>
              </w:rPr>
              <w:t>Superávit financeiro apurado no balanço patrimonial do exercício de 2023, relativo a:</w:t>
            </w:r>
          </w:p>
        </w:tc>
        <w:tc>
          <w:tcPr>
            <w:tcW w:w="1793" w:type="dxa"/>
            <w:tcBorders>
              <w:right w:val="single" w:sz="4" w:space="0" w:color="000000"/>
            </w:tcBorders>
            <w:shd w:val="clear" w:color="auto" w:fill="FFFFFF"/>
            <w:vAlign w:val="bottom"/>
          </w:tcPr>
          <w:p w:rsidR="00993488" w:rsidRDefault="00993488">
            <w:pPr>
              <w:jc w:val="right"/>
            </w:pPr>
            <w:r>
              <w:rPr>
                <w:rFonts w:ascii="Calibri" w:hAnsi="Calibri" w:cs="Calibri"/>
                <w:b/>
                <w:bCs/>
                <w:color w:val="000000"/>
              </w:rPr>
              <w:t>0</w:t>
            </w:r>
          </w:p>
        </w:tc>
        <w:tc>
          <w:tcPr>
            <w:tcW w:w="1730" w:type="dxa"/>
            <w:shd w:val="clear" w:color="auto" w:fill="FFFFFF"/>
            <w:vAlign w:val="bottom"/>
          </w:tcPr>
          <w:p w:rsidR="00993488" w:rsidRDefault="00993488">
            <w:pPr>
              <w:jc w:val="right"/>
            </w:pPr>
            <w:r>
              <w:rPr>
                <w:rFonts w:ascii="Calibri" w:eastAsia="Calibri" w:hAnsi="Calibri" w:cs="Calibri"/>
                <w:b/>
                <w:bCs/>
              </w:rPr>
              <w:t>1.911.441.977</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Recursos Livres da União</w:t>
            </w:r>
          </w:p>
        </w:tc>
        <w:tc>
          <w:tcPr>
            <w:tcW w:w="1793" w:type="dxa"/>
            <w:tcBorders>
              <w:right w:val="single" w:sz="4" w:space="0" w:color="000000"/>
            </w:tcBorders>
            <w:shd w:val="clear" w:color="auto" w:fill="FFFFFF"/>
            <w:vAlign w:val="bottom"/>
          </w:tcPr>
          <w:p w:rsidR="00993488" w:rsidRDefault="00993488">
            <w:pPr>
              <w:jc w:val="right"/>
            </w:pPr>
            <w:r>
              <w:rPr>
                <w:rFonts w:ascii="Calibri" w:hAnsi="Calibri" w:cs="Calibri"/>
                <w:color w:val="000000"/>
              </w:rPr>
              <w:t>0</w:t>
            </w:r>
          </w:p>
        </w:tc>
        <w:tc>
          <w:tcPr>
            <w:tcW w:w="1730" w:type="dxa"/>
            <w:shd w:val="clear" w:color="auto" w:fill="FFFFFF"/>
            <w:vAlign w:val="bottom"/>
          </w:tcPr>
          <w:p w:rsidR="00993488" w:rsidRDefault="00993488">
            <w:pPr>
              <w:jc w:val="right"/>
            </w:pPr>
            <w:r>
              <w:rPr>
                <w:rFonts w:ascii="Calibri" w:hAnsi="Calibri" w:cs="Calibri"/>
              </w:rPr>
              <w:t>921.973.512</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rPr>
              <w:t xml:space="preserve">- </w:t>
            </w:r>
            <w:r>
              <w:rPr>
                <w:rFonts w:ascii="Calibri" w:eastAsia="Calibri" w:hAnsi="Calibri" w:cs="Calibri"/>
                <w:color w:val="000000"/>
              </w:rPr>
              <w:t>Recursos Próprios Livres da UO</w:t>
            </w:r>
          </w:p>
        </w:tc>
        <w:tc>
          <w:tcPr>
            <w:tcW w:w="1793" w:type="dxa"/>
            <w:tcBorders>
              <w:right w:val="single" w:sz="4" w:space="0" w:color="000000"/>
            </w:tcBorders>
            <w:shd w:val="clear" w:color="auto" w:fill="FFFFFF"/>
            <w:vAlign w:val="bottom"/>
          </w:tcPr>
          <w:p w:rsidR="00993488" w:rsidRDefault="00993488">
            <w:pPr>
              <w:jc w:val="right"/>
            </w:pPr>
            <w:r>
              <w:rPr>
                <w:rFonts w:ascii="Calibri" w:hAnsi="Calibri" w:cs="Calibri"/>
                <w:color w:val="000000"/>
              </w:rPr>
              <w:t>0</w:t>
            </w:r>
          </w:p>
        </w:tc>
        <w:tc>
          <w:tcPr>
            <w:tcW w:w="1730" w:type="dxa"/>
            <w:shd w:val="clear" w:color="auto" w:fill="FFFFFF"/>
            <w:vAlign w:val="bottom"/>
          </w:tcPr>
          <w:p w:rsidR="00993488" w:rsidRDefault="00993488">
            <w:pPr>
              <w:jc w:val="right"/>
            </w:pPr>
            <w:r>
              <w:rPr>
                <w:rFonts w:ascii="Calibri" w:hAnsi="Calibri" w:cs="Calibri"/>
              </w:rPr>
              <w:t>828.088</w:t>
            </w:r>
          </w:p>
        </w:tc>
      </w:tr>
      <w:tr w:rsidR="00993488">
        <w:trPr>
          <w:trHeight w:val="284"/>
        </w:trPr>
        <w:tc>
          <w:tcPr>
            <w:tcW w:w="6022" w:type="dxa"/>
            <w:tcBorders>
              <w:right w:val="single" w:sz="4" w:space="0" w:color="000000"/>
            </w:tcBorders>
            <w:shd w:val="clear" w:color="auto" w:fill="FFFFFF"/>
          </w:tcPr>
          <w:p w:rsidR="00993488" w:rsidRDefault="00993488">
            <w:r>
              <w:rPr>
                <w:rFonts w:ascii="Calibri" w:hAnsi="Calibri" w:cs="Calibri"/>
                <w:bCs/>
                <w:color w:val="000000"/>
              </w:rPr>
              <w:t xml:space="preserve">- </w:t>
            </w:r>
            <w:r>
              <w:rPr>
                <w:rFonts w:ascii="Calibri" w:eastAsia="Calibri" w:hAnsi="Calibri" w:cs="Calibri"/>
                <w:color w:val="000000"/>
              </w:rPr>
              <w:t>Recursos Livres da UO</w:t>
            </w:r>
          </w:p>
        </w:tc>
        <w:tc>
          <w:tcPr>
            <w:tcW w:w="1793" w:type="dxa"/>
            <w:tcBorders>
              <w:right w:val="single" w:sz="4" w:space="0" w:color="000000"/>
            </w:tcBorders>
            <w:shd w:val="clear" w:color="auto" w:fill="FFFFFF"/>
            <w:vAlign w:val="bottom"/>
          </w:tcPr>
          <w:p w:rsidR="00993488" w:rsidRDefault="00993488">
            <w:pPr>
              <w:jc w:val="right"/>
            </w:pPr>
            <w:r>
              <w:rPr>
                <w:rFonts w:ascii="Calibri" w:hAnsi="Calibri" w:cs="Calibri"/>
                <w:color w:val="000000"/>
              </w:rPr>
              <w:t>0</w:t>
            </w:r>
          </w:p>
        </w:tc>
        <w:tc>
          <w:tcPr>
            <w:tcW w:w="1730" w:type="dxa"/>
            <w:shd w:val="clear" w:color="auto" w:fill="FFFFFF"/>
            <w:vAlign w:val="bottom"/>
          </w:tcPr>
          <w:p w:rsidR="00993488" w:rsidRDefault="00993488">
            <w:pPr>
              <w:jc w:val="right"/>
            </w:pPr>
            <w:r>
              <w:rPr>
                <w:rFonts w:ascii="Calibri" w:hAnsi="Calibri" w:cs="Calibri"/>
              </w:rPr>
              <w:t>988.640.377</w:t>
            </w:r>
          </w:p>
        </w:tc>
      </w:tr>
      <w:tr w:rsidR="00993488">
        <w:trPr>
          <w:trHeight w:val="405"/>
        </w:trPr>
        <w:tc>
          <w:tcPr>
            <w:tcW w:w="6022" w:type="dxa"/>
            <w:tcBorders>
              <w:right w:val="single" w:sz="4" w:space="0" w:color="000000"/>
            </w:tcBorders>
            <w:shd w:val="clear" w:color="auto" w:fill="FFFFFF"/>
          </w:tcPr>
          <w:p w:rsidR="00993488" w:rsidRDefault="00993488">
            <w:pPr>
              <w:rPr>
                <w:rFonts w:ascii="Calibri" w:hAnsi="Calibri" w:cs="Calibri"/>
                <w:color w:val="000000"/>
              </w:rPr>
            </w:pPr>
          </w:p>
        </w:tc>
        <w:tc>
          <w:tcPr>
            <w:tcW w:w="1793" w:type="dxa"/>
            <w:tcBorders>
              <w:right w:val="single" w:sz="4" w:space="0" w:color="000000"/>
            </w:tcBorders>
            <w:shd w:val="clear" w:color="auto" w:fill="FFFFFF"/>
          </w:tcPr>
          <w:p w:rsidR="00993488" w:rsidRDefault="00993488">
            <w:pPr>
              <w:jc w:val="right"/>
              <w:rPr>
                <w:rFonts w:ascii="Calibri" w:hAnsi="Calibri" w:cs="Calibri"/>
                <w:color w:val="000000"/>
              </w:rPr>
            </w:pPr>
          </w:p>
        </w:tc>
        <w:tc>
          <w:tcPr>
            <w:tcW w:w="1730" w:type="dxa"/>
            <w:shd w:val="clear" w:color="auto" w:fill="FFFFFF"/>
          </w:tcPr>
          <w:p w:rsidR="00993488" w:rsidRDefault="00993488">
            <w:pPr>
              <w:jc w:val="right"/>
              <w:rPr>
                <w:rFonts w:ascii="Calibri" w:hAnsi="Calibri" w:cs="Calibri"/>
                <w:color w:val="000000"/>
              </w:rPr>
            </w:pPr>
          </w:p>
        </w:tc>
      </w:tr>
      <w:tr w:rsidR="00993488">
        <w:trPr>
          <w:trHeight w:val="267"/>
        </w:trPr>
        <w:tc>
          <w:tcPr>
            <w:tcW w:w="6022" w:type="dxa"/>
            <w:tcBorders>
              <w:top w:val="single" w:sz="4" w:space="0" w:color="000000"/>
              <w:bottom w:val="single" w:sz="4" w:space="0" w:color="000000"/>
              <w:right w:val="single" w:sz="4" w:space="0" w:color="000000"/>
            </w:tcBorders>
            <w:shd w:val="clear" w:color="auto" w:fill="FFFFFF"/>
            <w:vAlign w:val="center"/>
          </w:tcPr>
          <w:p w:rsidR="00993488" w:rsidRDefault="00993488">
            <w:pPr>
              <w:jc w:val="center"/>
            </w:pPr>
            <w:r>
              <w:rPr>
                <w:rFonts w:ascii="Calibri" w:hAnsi="Calibri" w:cs="Calibri"/>
                <w:b/>
                <w:color w:val="000000"/>
              </w:rPr>
              <w:t>Total</w:t>
            </w:r>
          </w:p>
        </w:tc>
        <w:tc>
          <w:tcPr>
            <w:tcW w:w="1793" w:type="dxa"/>
            <w:tcBorders>
              <w:top w:val="single" w:sz="4" w:space="0" w:color="000000"/>
              <w:bottom w:val="single" w:sz="4" w:space="0" w:color="000000"/>
              <w:right w:val="single" w:sz="4" w:space="0" w:color="000000"/>
            </w:tcBorders>
            <w:shd w:val="clear" w:color="auto" w:fill="FFFFFF"/>
            <w:vAlign w:val="center"/>
          </w:tcPr>
          <w:p w:rsidR="00993488" w:rsidRDefault="00993488">
            <w:pPr>
              <w:jc w:val="right"/>
            </w:pPr>
            <w:bookmarkStart w:id="1" w:name="_Hlk170465004"/>
            <w:r>
              <w:rPr>
                <w:rFonts w:ascii="Calibri" w:hAnsi="Calibri" w:cs="Calibri"/>
                <w:b/>
                <w:bCs/>
              </w:rPr>
              <w:t>2.036.694.007</w:t>
            </w:r>
            <w:bookmarkEnd w:id="1"/>
          </w:p>
        </w:tc>
        <w:tc>
          <w:tcPr>
            <w:tcW w:w="1730" w:type="dxa"/>
            <w:tcBorders>
              <w:top w:val="single" w:sz="4" w:space="0" w:color="000000"/>
              <w:bottom w:val="single" w:sz="4" w:space="0" w:color="000000"/>
            </w:tcBorders>
            <w:shd w:val="clear" w:color="auto" w:fill="FFFFFF"/>
            <w:vAlign w:val="center"/>
          </w:tcPr>
          <w:p w:rsidR="00993488" w:rsidRDefault="00993488">
            <w:pPr>
              <w:jc w:val="right"/>
            </w:pPr>
            <w:r>
              <w:rPr>
                <w:rFonts w:ascii="Calibri" w:hAnsi="Calibri" w:cs="Calibri"/>
                <w:b/>
                <w:bCs/>
              </w:rPr>
              <w:t>2.036.694.007</w:t>
            </w:r>
          </w:p>
        </w:tc>
      </w:tr>
    </w:tbl>
    <w:p w:rsidR="00993488" w:rsidRDefault="00993488">
      <w:pPr>
        <w:tabs>
          <w:tab w:val="left" w:pos="426"/>
        </w:tabs>
        <w:rPr>
          <w:b/>
        </w:rPr>
      </w:pPr>
    </w:p>
    <w:p w:rsidR="00993488" w:rsidRDefault="00993488">
      <w:pPr>
        <w:pStyle w:val="Standard"/>
        <w:ind w:left="567" w:right="284"/>
        <w:rPr>
          <w:b/>
          <w:i/>
          <w:sz w:val="22"/>
        </w:rPr>
        <w:sectPr w:rsidR="00993488">
          <w:pgSz w:w="11906" w:h="16838"/>
          <w:pgMar w:top="1134" w:right="1134" w:bottom="1134" w:left="1134" w:header="720" w:footer="720" w:gutter="0"/>
          <w:cols w:space="720"/>
        </w:sectPr>
      </w:pPr>
    </w:p>
    <w:tbl>
      <w:tblPr>
        <w:tblW w:w="10095" w:type="dxa"/>
        <w:tblInd w:w="20" w:type="dxa"/>
        <w:tblLayout w:type="fixed"/>
        <w:tblCellMar>
          <w:left w:w="10" w:type="dxa"/>
          <w:right w:w="10" w:type="dxa"/>
        </w:tblCellMar>
        <w:tblLook w:val="0000" w:firstRow="0" w:lastRow="0" w:firstColumn="0" w:lastColumn="0" w:noHBand="0" w:noVBand="0"/>
      </w:tblPr>
      <w:tblGrid>
        <w:gridCol w:w="40"/>
        <w:gridCol w:w="5327"/>
        <w:gridCol w:w="1559"/>
        <w:gridCol w:w="1418"/>
        <w:gridCol w:w="1699"/>
        <w:gridCol w:w="12"/>
        <w:gridCol w:w="28"/>
        <w:gridCol w:w="12"/>
      </w:tblGrid>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bookmarkStart w:id="2" w:name="JR_PAGE_ANCHOR_0_1"/>
            <w:bookmarkEnd w:id="2"/>
          </w:p>
        </w:tc>
        <w:tc>
          <w:tcPr>
            <w:tcW w:w="5327" w:type="dxa"/>
            <w:shd w:val="clear" w:color="auto" w:fill="auto"/>
          </w:tcPr>
          <w:p w:rsidR="00993488" w:rsidRDefault="00993488">
            <w:pPr>
              <w:pStyle w:val="EMPTYCELLSTYLE"/>
              <w:rPr>
                <w:rFonts w:ascii="Calibri" w:hAnsi="Calibri" w:cs="Calibri"/>
                <w:sz w:val="24"/>
                <w:szCs w:val="24"/>
              </w:rPr>
            </w:pPr>
          </w:p>
        </w:tc>
        <w:tc>
          <w:tcPr>
            <w:tcW w:w="1559" w:type="dxa"/>
            <w:shd w:val="clear" w:color="auto" w:fill="auto"/>
          </w:tcPr>
          <w:p w:rsidR="00993488" w:rsidRDefault="00993488">
            <w:pPr>
              <w:pStyle w:val="EMPTYCELLSTYLE"/>
              <w:rPr>
                <w:rFonts w:ascii="Calibri" w:hAnsi="Calibri" w:cs="Calibri"/>
                <w:sz w:val="24"/>
                <w:szCs w:val="24"/>
              </w:rPr>
            </w:pPr>
          </w:p>
        </w:tc>
        <w:tc>
          <w:tcPr>
            <w:tcW w:w="1418" w:type="dxa"/>
            <w:shd w:val="clear" w:color="auto" w:fill="auto"/>
          </w:tcPr>
          <w:p w:rsidR="00993488" w:rsidRDefault="00993488">
            <w:pPr>
              <w:pStyle w:val="EMPTYCELLSTYLE"/>
              <w:rPr>
                <w:rFonts w:ascii="Calibri" w:hAnsi="Calibri" w:cs="Calibri"/>
                <w:sz w:val="24"/>
                <w:szCs w:val="24"/>
              </w:rPr>
            </w:pPr>
          </w:p>
        </w:tc>
        <w:tc>
          <w:tcPr>
            <w:tcW w:w="1699" w:type="dxa"/>
            <w:shd w:val="clear" w:color="auto" w:fill="auto"/>
          </w:tcPr>
          <w:p w:rsidR="00993488" w:rsidRDefault="00993488">
            <w:pPr>
              <w:pStyle w:val="EMPTYCELLSTYLE"/>
              <w:rPr>
                <w:rFonts w:ascii="Calibri" w:hAnsi="Calibri" w:cs="Calibri"/>
                <w:sz w:val="24"/>
                <w:szCs w:val="24"/>
              </w:rPr>
            </w:pP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0" w:type="dxa"/>
            <w:shd w:val="clear" w:color="auto" w:fill="auto"/>
          </w:tcPr>
          <w:p w:rsidR="00993488" w:rsidRDefault="00993488">
            <w:pPr>
              <w:pStyle w:val="EMPTYCELLSTYLE"/>
              <w:rPr>
                <w:rFonts w:ascii="Calibri" w:hAnsi="Calibri" w:cs="Calibri"/>
                <w:sz w:val="24"/>
                <w:szCs w:val="24"/>
              </w:rPr>
            </w:pPr>
          </w:p>
        </w:tc>
        <w:tc>
          <w:tcPr>
            <w:tcW w:w="10015" w:type="dxa"/>
            <w:gridSpan w:val="5"/>
            <w:shd w:val="clear" w:color="auto" w:fill="auto"/>
            <w:tcMar>
              <w:left w:w="0" w:type="dxa"/>
              <w:right w:w="0" w:type="dxa"/>
            </w:tcMar>
            <w:vAlign w:val="bottom"/>
          </w:tcPr>
          <w:p w:rsidR="00993488" w:rsidRDefault="00993488">
            <w:pPr>
              <w:jc w:val="center"/>
            </w:pPr>
            <w:r>
              <w:rPr>
                <w:rFonts w:ascii="Calibri" w:hAnsi="Calibri" w:cs="Calibri"/>
                <w:color w:val="000000"/>
              </w:rPr>
              <w:t>DEMONSTRATIVO DE EXCESSO DE ARRECADAÇÃO</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0" w:type="dxa"/>
            <w:shd w:val="clear" w:color="auto" w:fill="auto"/>
          </w:tcPr>
          <w:p w:rsidR="00993488" w:rsidRDefault="00993488">
            <w:pPr>
              <w:pStyle w:val="EMPTYCELLSTYLE"/>
              <w:rPr>
                <w:rFonts w:ascii="Calibri" w:hAnsi="Calibri" w:cs="Calibri"/>
                <w:sz w:val="24"/>
                <w:szCs w:val="24"/>
              </w:rPr>
            </w:pPr>
          </w:p>
        </w:tc>
        <w:tc>
          <w:tcPr>
            <w:tcW w:w="10015" w:type="dxa"/>
            <w:gridSpan w:val="5"/>
            <w:shd w:val="clear" w:color="auto" w:fill="auto"/>
            <w:tcMar>
              <w:left w:w="0" w:type="dxa"/>
              <w:right w:w="0" w:type="dxa"/>
            </w:tcMar>
          </w:tcPr>
          <w:p w:rsidR="00993488" w:rsidRDefault="00993488">
            <w:pPr>
              <w:jc w:val="center"/>
            </w:pPr>
            <w:r>
              <w:rPr>
                <w:rFonts w:ascii="Calibri" w:hAnsi="Calibri" w:cs="Calibri"/>
                <w:color w:val="000000"/>
              </w:rPr>
              <w:t>(Art.54, §5º, da Lei nº 14.791, de 29 de dezembro de 2023)</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0" w:type="dxa"/>
            <w:shd w:val="clear" w:color="auto" w:fill="auto"/>
          </w:tcPr>
          <w:p w:rsidR="00993488" w:rsidRDefault="00993488">
            <w:pPr>
              <w:pStyle w:val="EMPTYCELLSTYLE"/>
              <w:rPr>
                <w:rFonts w:ascii="Calibri" w:hAnsi="Calibri" w:cs="Calibri"/>
                <w:sz w:val="24"/>
                <w:szCs w:val="24"/>
              </w:rPr>
            </w:pPr>
          </w:p>
        </w:tc>
        <w:tc>
          <w:tcPr>
            <w:tcW w:w="10015" w:type="dxa"/>
            <w:gridSpan w:val="5"/>
            <w:shd w:val="clear" w:color="auto" w:fill="auto"/>
            <w:tcMar>
              <w:left w:w="0" w:type="dxa"/>
              <w:right w:w="0" w:type="dxa"/>
            </w:tcMar>
          </w:tcPr>
          <w:p w:rsidR="00993488" w:rsidRDefault="00993488">
            <w:r>
              <w:rPr>
                <w:rFonts w:ascii="Calibri" w:hAnsi="Calibri" w:cs="Calibri"/>
                <w:color w:val="000000"/>
              </w:rPr>
              <w:t>Fonte: 052 - Recursos Livres da UO</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0" w:type="dxa"/>
            <w:shd w:val="clear" w:color="auto" w:fill="auto"/>
          </w:tcPr>
          <w:p w:rsidR="00993488" w:rsidRDefault="00993488">
            <w:pPr>
              <w:pStyle w:val="EMPTYCELLSTYLE"/>
              <w:rPr>
                <w:rFonts w:ascii="Calibri" w:hAnsi="Calibri" w:cs="Calibri"/>
                <w:sz w:val="24"/>
                <w:szCs w:val="24"/>
              </w:rPr>
            </w:pPr>
          </w:p>
        </w:tc>
        <w:tc>
          <w:tcPr>
            <w:tcW w:w="10015" w:type="dxa"/>
            <w:gridSpan w:val="5"/>
            <w:shd w:val="clear" w:color="auto" w:fill="auto"/>
            <w:tcMar>
              <w:left w:w="0" w:type="dxa"/>
              <w:right w:w="0" w:type="dxa"/>
            </w:tcMar>
          </w:tcPr>
          <w:p w:rsidR="00993488" w:rsidRDefault="00993488">
            <w:r>
              <w:rPr>
                <w:rFonts w:ascii="Calibri" w:hAnsi="Calibri" w:cs="Calibri"/>
                <w:color w:val="000000"/>
              </w:rPr>
              <w:t>Unidade Orçamentária: 40101 - Ministério do Trabalho e Emprego - Administração Direta</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0" w:type="dxa"/>
            <w:shd w:val="clear" w:color="auto" w:fill="auto"/>
          </w:tcPr>
          <w:p w:rsidR="00993488" w:rsidRDefault="00993488">
            <w:pPr>
              <w:pStyle w:val="EMPTYCELLSTYLE"/>
              <w:rPr>
                <w:rFonts w:ascii="Calibri" w:hAnsi="Calibri" w:cs="Calibri"/>
                <w:sz w:val="24"/>
                <w:szCs w:val="24"/>
              </w:rPr>
            </w:pPr>
          </w:p>
        </w:tc>
        <w:tc>
          <w:tcPr>
            <w:tcW w:w="10015" w:type="dxa"/>
            <w:gridSpan w:val="5"/>
            <w:shd w:val="clear" w:color="auto" w:fill="auto"/>
            <w:tcMar>
              <w:left w:w="0" w:type="dxa"/>
              <w:right w:w="0" w:type="dxa"/>
            </w:tcMar>
          </w:tcPr>
          <w:p w:rsidR="00993488" w:rsidRDefault="00993488">
            <w:pPr>
              <w:jc w:val="right"/>
            </w:pPr>
            <w:r>
              <w:rPr>
                <w:rFonts w:ascii="Calibri" w:hAnsi="Calibri" w:cs="Calibri"/>
                <w:color w:val="000000"/>
              </w:rPr>
              <w:t>R$ 1,00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vMerge w:val="restart"/>
            <w:tcBorders>
              <w:top w:val="single" w:sz="8" w:space="0" w:color="000000"/>
              <w:bottom w:val="single" w:sz="8" w:space="0" w:color="000000"/>
              <w:right w:val="single" w:sz="8" w:space="0" w:color="000000"/>
            </w:tcBorders>
            <w:shd w:val="clear" w:color="auto" w:fill="auto"/>
            <w:tcMar>
              <w:left w:w="0" w:type="dxa"/>
              <w:right w:w="0" w:type="dxa"/>
            </w:tcMar>
            <w:vAlign w:val="center"/>
          </w:tcPr>
          <w:p w:rsidR="00993488" w:rsidRDefault="00993488">
            <w:pPr>
              <w:jc w:val="center"/>
            </w:pPr>
            <w:r>
              <w:rPr>
                <w:rFonts w:ascii="Calibri" w:hAnsi="Calibri" w:cs="Calibri"/>
                <w:color w:val="000000"/>
              </w:rPr>
              <w:t>NATUREZA</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993488" w:rsidRDefault="00993488">
            <w:pPr>
              <w:jc w:val="center"/>
            </w:pPr>
            <w:r>
              <w:rPr>
                <w:rFonts w:ascii="Calibri" w:hAnsi="Calibri" w:cs="Calibri"/>
                <w:color w:val="000000"/>
              </w:rPr>
              <w:t>2024</w:t>
            </w:r>
          </w:p>
        </w:tc>
        <w:tc>
          <w:tcPr>
            <w:tcW w:w="1699" w:type="dxa"/>
            <w:tcBorders>
              <w:top w:val="single" w:sz="8" w:space="0" w:color="000000"/>
              <w:left w:val="single" w:sz="8" w:space="0" w:color="000000"/>
              <w:bottom w:val="single" w:sz="8" w:space="0" w:color="000000"/>
            </w:tcBorders>
            <w:shd w:val="clear" w:color="auto" w:fill="auto"/>
            <w:tcMar>
              <w:left w:w="0" w:type="dxa"/>
              <w:right w:w="0" w:type="dxa"/>
            </w:tcMar>
            <w:vAlign w:val="center"/>
          </w:tcPr>
          <w:p w:rsidR="00993488" w:rsidRDefault="00993488">
            <w:pPr>
              <w:jc w:val="center"/>
            </w:pPr>
            <w:r>
              <w:rPr>
                <w:rFonts w:ascii="Calibri" w:hAnsi="Calibri" w:cs="Calibri"/>
                <w:color w:val="000000"/>
              </w:rPr>
              <w:t>EXCESSO/</w:t>
            </w:r>
            <w:r>
              <w:rPr>
                <w:rFonts w:ascii="Calibri" w:hAnsi="Calibri" w:cs="Calibri"/>
                <w:color w:val="000000"/>
              </w:rPr>
              <w:br/>
              <w:t>FRUSTRAÇÃO</w:t>
            </w:r>
            <w:r>
              <w:rPr>
                <w:rFonts w:ascii="Calibri" w:hAnsi="Calibri" w:cs="Calibri"/>
                <w:color w:val="000000"/>
              </w:rPr>
              <w:br/>
              <w:t>(C) = (B) - (A)</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vMerge/>
            <w:tcBorders>
              <w:top w:val="single" w:sz="8" w:space="0" w:color="000000"/>
              <w:bottom w:val="single" w:sz="8" w:space="0" w:color="000000"/>
              <w:right w:val="single" w:sz="8" w:space="0" w:color="000000"/>
            </w:tcBorders>
            <w:shd w:val="clear" w:color="auto" w:fill="auto"/>
            <w:tcMar>
              <w:left w:w="0" w:type="dxa"/>
              <w:right w:w="0" w:type="dxa"/>
            </w:tcMar>
            <w:vAlign w:val="center"/>
          </w:tcPr>
          <w:p w:rsidR="00993488" w:rsidRDefault="00993488">
            <w:pPr>
              <w:pStyle w:val="EMPTYCELLSTYLE"/>
              <w:rPr>
                <w:rFonts w:ascii="Calibri" w:hAnsi="Calibri" w:cs="Calibri"/>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993488" w:rsidRDefault="00993488">
            <w:pPr>
              <w:jc w:val="center"/>
            </w:pPr>
            <w:r>
              <w:rPr>
                <w:rFonts w:ascii="Calibri" w:hAnsi="Calibri" w:cs="Calibri"/>
                <w:color w:val="000000"/>
              </w:rPr>
              <w:t>LEI</w:t>
            </w:r>
            <w:r>
              <w:rPr>
                <w:rFonts w:ascii="Calibri" w:hAnsi="Calibri" w:cs="Calibri"/>
                <w:color w:val="000000"/>
              </w:rPr>
              <w:br/>
              <w:t>(A)</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993488" w:rsidRDefault="00993488">
            <w:pPr>
              <w:jc w:val="center"/>
            </w:pPr>
            <w:r>
              <w:rPr>
                <w:rFonts w:ascii="Calibri" w:hAnsi="Calibri" w:cs="Calibri"/>
                <w:color w:val="000000"/>
              </w:rPr>
              <w:t>REESTIMATIVA</w:t>
            </w:r>
            <w:r>
              <w:rPr>
                <w:rFonts w:ascii="Calibri" w:hAnsi="Calibri" w:cs="Calibri"/>
                <w:color w:val="000000"/>
              </w:rPr>
              <w:br/>
              <w:t>(B)</w:t>
            </w:r>
          </w:p>
        </w:tc>
        <w:tc>
          <w:tcPr>
            <w:tcW w:w="1699" w:type="dxa"/>
            <w:tcBorders>
              <w:top w:val="single" w:sz="8" w:space="0" w:color="000000"/>
              <w:left w:val="single" w:sz="8" w:space="0" w:color="000000"/>
              <w:bottom w:val="single" w:sz="8" w:space="0" w:color="000000"/>
            </w:tcBorders>
            <w:shd w:val="clear" w:color="auto" w:fill="auto"/>
            <w:tcMar>
              <w:left w:w="0" w:type="dxa"/>
              <w:right w:w="0" w:type="dxa"/>
            </w:tcMar>
            <w:vAlign w:val="center"/>
          </w:tcPr>
          <w:p w:rsidR="00993488" w:rsidRDefault="00993488">
            <w:pPr>
              <w:pStyle w:val="EMPTYCELLSTYLE"/>
              <w:rPr>
                <w:rFonts w:ascii="Calibri" w:hAnsi="Calibri" w:cs="Calibri"/>
                <w:sz w:val="24"/>
                <w:szCs w:val="24"/>
              </w:rPr>
            </w:pP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shd w:val="clear" w:color="auto" w:fill="auto"/>
            <w:tcMar>
              <w:left w:w="0" w:type="dxa"/>
              <w:right w:w="0" w:type="dxa"/>
            </w:tcMar>
          </w:tcPr>
          <w:p w:rsidR="00993488" w:rsidRDefault="00993488">
            <w:r>
              <w:rPr>
                <w:rFonts w:ascii="Calibri" w:hAnsi="Calibri" w:cs="Calibri"/>
                <w:color w:val="000000"/>
              </w:rPr>
              <w:t>19100000 - Multas Administrativas, Contratuais e Judiciais</w:t>
            </w:r>
          </w:p>
        </w:tc>
        <w:tc>
          <w:tcPr>
            <w:tcW w:w="1559" w:type="dxa"/>
            <w:shd w:val="clear" w:color="auto" w:fill="auto"/>
            <w:tcMar>
              <w:left w:w="0" w:type="dxa"/>
              <w:right w:w="0" w:type="dxa"/>
            </w:tcMar>
          </w:tcPr>
          <w:p w:rsidR="00993488" w:rsidRDefault="00993488">
            <w:pPr>
              <w:jc w:val="right"/>
            </w:pPr>
            <w:r>
              <w:rPr>
                <w:rFonts w:ascii="Calibri" w:hAnsi="Calibri" w:cs="Calibri"/>
                <w:color w:val="000000"/>
              </w:rPr>
              <w:t>684.474.772</w:t>
            </w:r>
          </w:p>
        </w:tc>
        <w:tc>
          <w:tcPr>
            <w:tcW w:w="1418" w:type="dxa"/>
            <w:shd w:val="clear" w:color="auto" w:fill="auto"/>
            <w:tcMar>
              <w:left w:w="0" w:type="dxa"/>
              <w:right w:w="0" w:type="dxa"/>
            </w:tcMar>
          </w:tcPr>
          <w:p w:rsidR="00993488" w:rsidRDefault="00993488">
            <w:pPr>
              <w:jc w:val="right"/>
            </w:pPr>
            <w:r>
              <w:rPr>
                <w:rFonts w:ascii="Calibri" w:hAnsi="Calibri" w:cs="Calibri"/>
                <w:color w:val="000000"/>
              </w:rPr>
              <w:t>809.726.802</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125.252.030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tcBorders>
              <w:top w:val="single" w:sz="8" w:space="0" w:color="000000"/>
              <w:bottom w:val="single" w:sz="8" w:space="0" w:color="000000"/>
            </w:tcBorders>
            <w:shd w:val="clear" w:color="auto" w:fill="auto"/>
            <w:tcMar>
              <w:left w:w="0" w:type="dxa"/>
              <w:right w:w="0" w:type="dxa"/>
            </w:tcMar>
          </w:tcPr>
          <w:p w:rsidR="00993488" w:rsidRDefault="00993488">
            <w:r>
              <w:rPr>
                <w:rFonts w:ascii="Calibri" w:hAnsi="Calibri" w:cs="Calibri"/>
                <w:b/>
                <w:color w:val="000000"/>
              </w:rPr>
              <w:t>Total</w:t>
            </w:r>
          </w:p>
        </w:tc>
        <w:tc>
          <w:tcPr>
            <w:tcW w:w="1559" w:type="dxa"/>
            <w:tcBorders>
              <w:top w:val="single" w:sz="8" w:space="0" w:color="000000"/>
              <w:bottom w:val="single" w:sz="8" w:space="0" w:color="000000"/>
            </w:tcBorders>
            <w:shd w:val="clear" w:color="auto" w:fill="auto"/>
            <w:tcMar>
              <w:left w:w="0" w:type="dxa"/>
              <w:right w:w="0" w:type="dxa"/>
            </w:tcMar>
          </w:tcPr>
          <w:p w:rsidR="00993488" w:rsidRDefault="00993488">
            <w:pPr>
              <w:jc w:val="right"/>
            </w:pPr>
            <w:r>
              <w:rPr>
                <w:rFonts w:ascii="Calibri" w:hAnsi="Calibri" w:cs="Calibri"/>
                <w:b/>
                <w:color w:val="000000"/>
              </w:rPr>
              <w:t>684.474.772</w:t>
            </w:r>
          </w:p>
        </w:tc>
        <w:tc>
          <w:tcPr>
            <w:tcW w:w="1418" w:type="dxa"/>
            <w:tcBorders>
              <w:top w:val="single" w:sz="8" w:space="0" w:color="000000"/>
              <w:bottom w:val="single" w:sz="8" w:space="0" w:color="000000"/>
            </w:tcBorders>
            <w:shd w:val="clear" w:color="auto" w:fill="auto"/>
            <w:tcMar>
              <w:left w:w="0" w:type="dxa"/>
              <w:right w:w="0" w:type="dxa"/>
            </w:tcMar>
          </w:tcPr>
          <w:p w:rsidR="00993488" w:rsidRDefault="00993488">
            <w:pPr>
              <w:jc w:val="right"/>
            </w:pPr>
            <w:r>
              <w:rPr>
                <w:rFonts w:ascii="Calibri" w:hAnsi="Calibri" w:cs="Calibri"/>
                <w:b/>
                <w:color w:val="000000"/>
              </w:rPr>
              <w:t>809.726.802</w:t>
            </w:r>
          </w:p>
        </w:tc>
        <w:tc>
          <w:tcPr>
            <w:tcW w:w="1699" w:type="dxa"/>
            <w:tcBorders>
              <w:top w:val="single" w:sz="8" w:space="0" w:color="000000"/>
              <w:bottom w:val="single" w:sz="8" w:space="0" w:color="000000"/>
            </w:tcBorders>
            <w:shd w:val="clear" w:color="auto" w:fill="auto"/>
            <w:tcMar>
              <w:left w:w="0" w:type="dxa"/>
              <w:right w:w="0" w:type="dxa"/>
            </w:tcMar>
          </w:tcPr>
          <w:p w:rsidR="00993488" w:rsidRDefault="00993488">
            <w:pPr>
              <w:jc w:val="right"/>
            </w:pPr>
            <w:r>
              <w:rPr>
                <w:rFonts w:ascii="Calibri" w:hAnsi="Calibri" w:cs="Calibri"/>
                <w:b/>
                <w:color w:val="000000"/>
              </w:rPr>
              <w:t>125.252.030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shd w:val="clear" w:color="auto" w:fill="auto"/>
            <w:tcMar>
              <w:left w:w="0" w:type="dxa"/>
              <w:right w:w="0" w:type="dxa"/>
            </w:tcMar>
          </w:tcPr>
          <w:p w:rsidR="00993488" w:rsidRDefault="00993488">
            <w:r>
              <w:rPr>
                <w:rFonts w:ascii="Calibri" w:hAnsi="Calibri" w:cs="Calibri"/>
                <w:color w:val="000000"/>
              </w:rPr>
              <w:t>(D) Créditos Especiais e Extraordinários Reabertos</w:t>
            </w:r>
          </w:p>
        </w:tc>
        <w:tc>
          <w:tcPr>
            <w:tcW w:w="1559" w:type="dxa"/>
            <w:shd w:val="clear" w:color="auto" w:fill="auto"/>
            <w:tcMar>
              <w:left w:w="0" w:type="dxa"/>
              <w:right w:w="0" w:type="dxa"/>
            </w:tcMar>
          </w:tcPr>
          <w:p w:rsidR="00993488" w:rsidRDefault="00993488">
            <w:pPr>
              <w:jc w:val="right"/>
              <w:rPr>
                <w:rFonts w:ascii="Calibri" w:hAnsi="Calibri" w:cs="Calibri"/>
              </w:rPr>
            </w:pPr>
          </w:p>
        </w:tc>
        <w:tc>
          <w:tcPr>
            <w:tcW w:w="1418" w:type="dxa"/>
            <w:shd w:val="clear" w:color="auto" w:fill="auto"/>
            <w:tcMar>
              <w:left w:w="0" w:type="dxa"/>
              <w:right w:w="0" w:type="dxa"/>
            </w:tcMar>
          </w:tcPr>
          <w:p w:rsidR="00993488" w:rsidRDefault="00993488">
            <w:pPr>
              <w:jc w:val="right"/>
              <w:rPr>
                <w:rFonts w:ascii="Calibri" w:hAnsi="Calibri" w:cs="Calibri"/>
              </w:rPr>
            </w:pP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Abertos</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Em Tramitação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Valor deste crédito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shd w:val="clear" w:color="auto" w:fill="auto"/>
            <w:tcMar>
              <w:left w:w="0" w:type="dxa"/>
              <w:right w:w="0" w:type="dxa"/>
            </w:tcMar>
          </w:tcPr>
          <w:p w:rsidR="00993488" w:rsidRDefault="00993488">
            <w:r>
              <w:rPr>
                <w:rFonts w:ascii="Calibri" w:hAnsi="Calibri" w:cs="Calibri"/>
                <w:color w:val="000000"/>
              </w:rPr>
              <w:t>(E) Créditos Extraordinários</w:t>
            </w:r>
          </w:p>
        </w:tc>
        <w:tc>
          <w:tcPr>
            <w:tcW w:w="1559" w:type="dxa"/>
            <w:shd w:val="clear" w:color="auto" w:fill="auto"/>
            <w:tcMar>
              <w:left w:w="0" w:type="dxa"/>
              <w:right w:w="0" w:type="dxa"/>
            </w:tcMar>
          </w:tcPr>
          <w:p w:rsidR="00993488" w:rsidRDefault="00993488">
            <w:pPr>
              <w:jc w:val="right"/>
              <w:rPr>
                <w:rFonts w:ascii="Calibri" w:hAnsi="Calibri" w:cs="Calibri"/>
              </w:rPr>
            </w:pPr>
          </w:p>
        </w:tc>
        <w:tc>
          <w:tcPr>
            <w:tcW w:w="1418" w:type="dxa"/>
            <w:shd w:val="clear" w:color="auto" w:fill="auto"/>
            <w:tcMar>
              <w:left w:w="0" w:type="dxa"/>
              <w:right w:w="0" w:type="dxa"/>
            </w:tcMar>
          </w:tcPr>
          <w:p w:rsidR="00993488" w:rsidRDefault="00993488">
            <w:pPr>
              <w:jc w:val="right"/>
              <w:rPr>
                <w:rFonts w:ascii="Calibri" w:hAnsi="Calibri" w:cs="Calibri"/>
              </w:rPr>
            </w:pPr>
          </w:p>
        </w:tc>
        <w:tc>
          <w:tcPr>
            <w:tcW w:w="1699" w:type="dxa"/>
            <w:shd w:val="clear" w:color="auto" w:fill="auto"/>
            <w:tcMar>
              <w:left w:w="0" w:type="dxa"/>
              <w:right w:w="0" w:type="dxa"/>
            </w:tcMar>
          </w:tcPr>
          <w:p w:rsidR="00993488" w:rsidRDefault="00993488">
            <w:pPr>
              <w:jc w:val="right"/>
            </w:pPr>
            <w:r>
              <w:rPr>
                <w:rFonts w:ascii="Calibri" w:hAnsi="Calibri" w:cs="Calibri"/>
                <w:color w:val="000000"/>
              </w:rPr>
              <w:t>125.252.030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Abertos</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Em Tramitação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Valor deste crédito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125.252.030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shd w:val="clear" w:color="auto" w:fill="auto"/>
            <w:tcMar>
              <w:left w:w="0" w:type="dxa"/>
              <w:right w:w="0" w:type="dxa"/>
            </w:tcMar>
          </w:tcPr>
          <w:p w:rsidR="00993488" w:rsidRDefault="00993488">
            <w:r>
              <w:rPr>
                <w:rFonts w:ascii="Calibri" w:hAnsi="Calibri" w:cs="Calibri"/>
                <w:color w:val="000000"/>
              </w:rPr>
              <w:t>(F) Créditos Suplementares e Especiais</w:t>
            </w:r>
          </w:p>
        </w:tc>
        <w:tc>
          <w:tcPr>
            <w:tcW w:w="1559" w:type="dxa"/>
            <w:shd w:val="clear" w:color="auto" w:fill="auto"/>
            <w:tcMar>
              <w:left w:w="0" w:type="dxa"/>
              <w:right w:w="0" w:type="dxa"/>
            </w:tcMar>
          </w:tcPr>
          <w:p w:rsidR="00993488" w:rsidRDefault="00993488">
            <w:pPr>
              <w:jc w:val="right"/>
              <w:rPr>
                <w:rFonts w:ascii="Calibri" w:hAnsi="Calibri" w:cs="Calibri"/>
              </w:rPr>
            </w:pPr>
          </w:p>
        </w:tc>
        <w:tc>
          <w:tcPr>
            <w:tcW w:w="1418" w:type="dxa"/>
            <w:shd w:val="clear" w:color="auto" w:fill="auto"/>
            <w:tcMar>
              <w:left w:w="0" w:type="dxa"/>
              <w:right w:w="0" w:type="dxa"/>
            </w:tcMar>
          </w:tcPr>
          <w:p w:rsidR="00993488" w:rsidRDefault="00993488">
            <w:pPr>
              <w:jc w:val="right"/>
              <w:rPr>
                <w:rFonts w:ascii="Calibri" w:hAnsi="Calibri" w:cs="Calibri"/>
              </w:rPr>
            </w:pPr>
          </w:p>
        </w:tc>
        <w:tc>
          <w:tcPr>
            <w:tcW w:w="1699" w:type="dxa"/>
            <w:shd w:val="clear" w:color="auto" w:fill="auto"/>
            <w:tcMar>
              <w:left w:w="0" w:type="dxa"/>
              <w:right w:w="0" w:type="dxa"/>
            </w:tcMar>
          </w:tcPr>
          <w:p w:rsidR="00993488" w:rsidRDefault="00993488">
            <w:pPr>
              <w:jc w:val="right"/>
            </w:pPr>
            <w:r>
              <w:rPr>
                <w:rFonts w:ascii="Calibri" w:hAnsi="Calibri" w:cs="Calibri"/>
                <w:color w:val="000000"/>
              </w:rPr>
              <w:t>-5.796.833</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Abertos</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-5.796.833</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Em Tramitação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Valor deste crédito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shd w:val="clear" w:color="auto" w:fill="auto"/>
            <w:tcMar>
              <w:left w:w="0" w:type="dxa"/>
              <w:right w:w="0" w:type="dxa"/>
            </w:tcMar>
          </w:tcPr>
          <w:p w:rsidR="00993488" w:rsidRDefault="00993488">
            <w:r>
              <w:rPr>
                <w:rFonts w:ascii="Calibri" w:hAnsi="Calibri" w:cs="Calibri"/>
                <w:color w:val="000000"/>
              </w:rPr>
              <w:t>(G) Outras alterações orçamentárias</w:t>
            </w:r>
          </w:p>
        </w:tc>
        <w:tc>
          <w:tcPr>
            <w:tcW w:w="1559" w:type="dxa"/>
            <w:shd w:val="clear" w:color="auto" w:fill="auto"/>
            <w:tcMar>
              <w:left w:w="0" w:type="dxa"/>
              <w:right w:w="0" w:type="dxa"/>
            </w:tcMar>
          </w:tcPr>
          <w:p w:rsidR="00993488" w:rsidRDefault="00993488">
            <w:pPr>
              <w:jc w:val="right"/>
              <w:rPr>
                <w:rFonts w:ascii="Calibri" w:hAnsi="Calibri" w:cs="Calibri"/>
              </w:rPr>
            </w:pPr>
          </w:p>
        </w:tc>
        <w:tc>
          <w:tcPr>
            <w:tcW w:w="1418" w:type="dxa"/>
            <w:shd w:val="clear" w:color="auto" w:fill="auto"/>
            <w:tcMar>
              <w:left w:w="0" w:type="dxa"/>
              <w:right w:w="0" w:type="dxa"/>
            </w:tcMar>
          </w:tcPr>
          <w:p w:rsidR="00993488" w:rsidRDefault="00993488">
            <w:pPr>
              <w:jc w:val="right"/>
              <w:rPr>
                <w:rFonts w:ascii="Calibri" w:hAnsi="Calibri" w:cs="Calibri"/>
              </w:rPr>
            </w:pP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Abertos</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shd w:val="clear" w:color="auto" w:fill="auto"/>
            <w:tcMar>
              <w:left w:w="2200" w:type="dxa"/>
              <w:right w:w="0" w:type="dxa"/>
            </w:tcMar>
          </w:tcPr>
          <w:p w:rsidR="00993488" w:rsidRDefault="00993488">
            <w:r>
              <w:rPr>
                <w:rFonts w:ascii="Calibri" w:hAnsi="Calibri" w:cs="Calibri"/>
                <w:color w:val="000000"/>
              </w:rPr>
              <w:t>Em Tramitação</w:t>
            </w:r>
          </w:p>
        </w:tc>
        <w:tc>
          <w:tcPr>
            <w:tcW w:w="1699"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tcBorders>
              <w:bottom w:val="single" w:sz="8" w:space="0" w:color="000000"/>
            </w:tcBorders>
            <w:shd w:val="clear" w:color="auto" w:fill="auto"/>
            <w:tcMar>
              <w:left w:w="2200" w:type="dxa"/>
              <w:right w:w="0" w:type="dxa"/>
            </w:tcMar>
          </w:tcPr>
          <w:p w:rsidR="00993488" w:rsidRDefault="00993488">
            <w:r>
              <w:rPr>
                <w:rFonts w:ascii="Calibri" w:hAnsi="Calibri" w:cs="Calibri"/>
                <w:color w:val="000000"/>
              </w:rPr>
              <w:t>Valor deste crédito</w:t>
            </w:r>
          </w:p>
        </w:tc>
        <w:tc>
          <w:tcPr>
            <w:tcW w:w="1699" w:type="dxa"/>
            <w:tcBorders>
              <w:bottom w:val="single" w:sz="8" w:space="0" w:color="000000"/>
            </w:tcBorders>
            <w:shd w:val="clear" w:color="auto" w:fill="auto"/>
            <w:tcMar>
              <w:left w:w="0" w:type="dxa"/>
              <w:right w:w="0" w:type="dxa"/>
            </w:tcMar>
          </w:tcPr>
          <w:p w:rsidR="00993488" w:rsidRDefault="00993488">
            <w:pPr>
              <w:jc w:val="right"/>
            </w:pPr>
            <w:r>
              <w:rPr>
                <w:rFonts w:ascii="Calibri" w:hAnsi="Calibri" w:cs="Calibri"/>
                <w:color w:val="000000"/>
              </w:rPr>
              <w:t>0</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tcBorders>
              <w:top w:val="single" w:sz="8" w:space="0" w:color="000000"/>
              <w:bottom w:val="single" w:sz="4" w:space="0" w:color="000000"/>
            </w:tcBorders>
            <w:shd w:val="clear" w:color="auto" w:fill="auto"/>
            <w:tcMar>
              <w:left w:w="0" w:type="dxa"/>
              <w:right w:w="0" w:type="dxa"/>
            </w:tcMar>
          </w:tcPr>
          <w:p w:rsidR="00993488" w:rsidRDefault="00993488">
            <w:r>
              <w:rPr>
                <w:rFonts w:ascii="Calibri" w:hAnsi="Calibri" w:cs="Calibri"/>
                <w:b/>
                <w:color w:val="000000"/>
              </w:rPr>
              <w:t>(H) Saldo = (C) - (D) - (E) - (F) - (G)</w:t>
            </w:r>
          </w:p>
        </w:tc>
        <w:tc>
          <w:tcPr>
            <w:tcW w:w="1699" w:type="dxa"/>
            <w:tcBorders>
              <w:top w:val="single" w:sz="8" w:space="0" w:color="000000"/>
              <w:bottom w:val="single" w:sz="4" w:space="0" w:color="000000"/>
            </w:tcBorders>
            <w:shd w:val="clear" w:color="auto" w:fill="auto"/>
            <w:tcMar>
              <w:left w:w="0" w:type="dxa"/>
              <w:right w:w="0" w:type="dxa"/>
            </w:tcMar>
          </w:tcPr>
          <w:p w:rsidR="00993488" w:rsidRDefault="00993488">
            <w:pPr>
              <w:jc w:val="right"/>
            </w:pPr>
            <w:r>
              <w:rPr>
                <w:rFonts w:ascii="Calibri" w:hAnsi="Calibri" w:cs="Calibri"/>
                <w:b/>
                <w:color w:val="000000"/>
              </w:rPr>
              <w:t>5.796.833</w:t>
            </w: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8304" w:type="dxa"/>
            <w:gridSpan w:val="3"/>
            <w:tcBorders>
              <w:top w:val="single" w:sz="4" w:space="0" w:color="000000"/>
            </w:tcBorders>
            <w:shd w:val="clear" w:color="auto" w:fill="auto"/>
            <w:tcMar>
              <w:left w:w="0" w:type="dxa"/>
              <w:right w:w="0" w:type="dxa"/>
            </w:tcMar>
          </w:tcPr>
          <w:tbl>
            <w:tblPr>
              <w:tblW w:w="0" w:type="auto"/>
              <w:tblInd w:w="10" w:type="dxa"/>
              <w:tblLayout w:type="fixed"/>
              <w:tblCellMar>
                <w:left w:w="10" w:type="dxa"/>
                <w:right w:w="10" w:type="dxa"/>
              </w:tblCellMar>
              <w:tblLook w:val="0000" w:firstRow="0" w:lastRow="0" w:firstColumn="0" w:lastColumn="0" w:noHBand="0" w:noVBand="0"/>
            </w:tblPr>
            <w:tblGrid>
              <w:gridCol w:w="40"/>
              <w:gridCol w:w="11099"/>
              <w:gridCol w:w="41"/>
            </w:tblGrid>
            <w:tr w:rsidR="00993488">
              <w:trPr>
                <w:trHeight w:hRule="exact" w:val="417"/>
              </w:trPr>
              <w:tc>
                <w:tcPr>
                  <w:tcW w:w="40" w:type="dxa"/>
                  <w:shd w:val="clear" w:color="auto" w:fill="auto"/>
                </w:tcPr>
                <w:p w:rsidR="00993488" w:rsidRDefault="00993488">
                  <w:pPr>
                    <w:pStyle w:val="EMPTYCELLSTYLE"/>
                    <w:rPr>
                      <w:rFonts w:ascii="Calibri" w:hAnsi="Calibri" w:cs="Calibri"/>
                      <w:sz w:val="20"/>
                    </w:rPr>
                  </w:pPr>
                </w:p>
              </w:tc>
              <w:tc>
                <w:tcPr>
                  <w:tcW w:w="11099" w:type="dxa"/>
                  <w:shd w:val="clear" w:color="auto" w:fill="auto"/>
                  <w:tcMar>
                    <w:left w:w="0" w:type="dxa"/>
                    <w:right w:w="0" w:type="dxa"/>
                  </w:tcMar>
                </w:tcPr>
                <w:p w:rsidR="00993488" w:rsidRDefault="00993488">
                  <w:r>
                    <w:rPr>
                      <w:rFonts w:ascii="Calibri" w:eastAsia="SansSerif" w:hAnsi="Calibri" w:cs="Calibri"/>
                      <w:color w:val="000000"/>
                    </w:rPr>
                    <w:t>Cenário de projeção de receitas: Créditos 2024-06-25-V04, divulgado em 25/06/2024 14:46:15</w:t>
                  </w:r>
                </w:p>
              </w:tc>
              <w:tc>
                <w:tcPr>
                  <w:tcW w:w="41" w:type="dxa"/>
                  <w:shd w:val="clear" w:color="auto" w:fill="auto"/>
                </w:tcPr>
                <w:p w:rsidR="00993488" w:rsidRDefault="00993488">
                  <w:pPr>
                    <w:pStyle w:val="EMPTYCELLSTYLE"/>
                    <w:rPr>
                      <w:rFonts w:ascii="Calibri" w:hAnsi="Calibri" w:cs="Calibri"/>
                      <w:sz w:val="20"/>
                    </w:rPr>
                  </w:pPr>
                </w:p>
              </w:tc>
            </w:tr>
          </w:tbl>
          <w:p w:rsidR="00993488" w:rsidRDefault="00993488"/>
          <w:p w:rsidR="00993488" w:rsidRDefault="00993488">
            <w:pPr>
              <w:rPr>
                <w:rFonts w:ascii="Calibri" w:hAnsi="Calibri" w:cs="Calibri"/>
                <w:b/>
                <w:color w:val="000000"/>
              </w:rPr>
            </w:pPr>
          </w:p>
        </w:tc>
        <w:tc>
          <w:tcPr>
            <w:tcW w:w="1699" w:type="dxa"/>
            <w:tcBorders>
              <w:top w:val="single" w:sz="4" w:space="0" w:color="000000"/>
            </w:tcBorders>
            <w:shd w:val="clear" w:color="auto" w:fill="auto"/>
            <w:tcMar>
              <w:left w:w="0" w:type="dxa"/>
              <w:right w:w="0" w:type="dxa"/>
            </w:tcMar>
          </w:tcPr>
          <w:p w:rsidR="00993488" w:rsidRDefault="00993488">
            <w:pPr>
              <w:jc w:val="right"/>
              <w:rPr>
                <w:rFonts w:ascii="Calibri" w:hAnsi="Calibri" w:cs="Calibri"/>
                <w:b/>
                <w:color w:val="000000"/>
              </w:rPr>
            </w:pPr>
          </w:p>
        </w:tc>
        <w:tc>
          <w:tcPr>
            <w:tcW w:w="40" w:type="dxa"/>
            <w:gridSpan w:val="2"/>
            <w:shd w:val="clear" w:color="auto" w:fill="auto"/>
          </w:tcPr>
          <w:p w:rsidR="00993488" w:rsidRDefault="00993488">
            <w:pPr>
              <w:pStyle w:val="EMPTYCELLSTYLE"/>
              <w:rPr>
                <w:rFonts w:ascii="Calibri" w:hAnsi="Calibri" w:cs="Calibri"/>
                <w:sz w:val="24"/>
                <w:szCs w:val="24"/>
              </w:rPr>
            </w:pPr>
          </w:p>
        </w:tc>
      </w:tr>
      <w:tr w:rsidR="00993488" w:rsidTr="00993488">
        <w:trPr>
          <w:gridAfter w:val="1"/>
          <w:wAfter w:w="12" w:type="dxa"/>
          <w:trHeight w:val="340"/>
        </w:trPr>
        <w:tc>
          <w:tcPr>
            <w:tcW w:w="40" w:type="dxa"/>
            <w:shd w:val="clear" w:color="auto" w:fill="auto"/>
          </w:tcPr>
          <w:p w:rsidR="00993488" w:rsidRDefault="00993488">
            <w:pPr>
              <w:pStyle w:val="EMPTYCELLSTYLE"/>
              <w:rPr>
                <w:rFonts w:ascii="Calibri" w:hAnsi="Calibri" w:cs="Calibri"/>
                <w:sz w:val="24"/>
                <w:szCs w:val="24"/>
              </w:rPr>
            </w:pPr>
          </w:p>
        </w:tc>
        <w:tc>
          <w:tcPr>
            <w:tcW w:w="5327" w:type="dxa"/>
            <w:shd w:val="clear" w:color="auto" w:fill="auto"/>
          </w:tcPr>
          <w:p w:rsidR="00993488" w:rsidRDefault="00993488">
            <w:pPr>
              <w:pStyle w:val="EMPTYCELLSTYLE"/>
              <w:rPr>
                <w:rFonts w:ascii="Calibri" w:hAnsi="Calibri" w:cs="Calibri"/>
                <w:sz w:val="24"/>
                <w:szCs w:val="24"/>
              </w:rPr>
            </w:pPr>
          </w:p>
        </w:tc>
        <w:tc>
          <w:tcPr>
            <w:tcW w:w="1559" w:type="dxa"/>
            <w:shd w:val="clear" w:color="auto" w:fill="auto"/>
          </w:tcPr>
          <w:p w:rsidR="00993488" w:rsidRDefault="00993488">
            <w:pPr>
              <w:pStyle w:val="EMPTYCELLSTYLE"/>
              <w:rPr>
                <w:rFonts w:ascii="Calibri" w:hAnsi="Calibri" w:cs="Calibri"/>
                <w:sz w:val="24"/>
                <w:szCs w:val="24"/>
              </w:rPr>
            </w:pPr>
          </w:p>
        </w:tc>
        <w:tc>
          <w:tcPr>
            <w:tcW w:w="1418" w:type="dxa"/>
            <w:shd w:val="clear" w:color="auto" w:fill="auto"/>
          </w:tcPr>
          <w:p w:rsidR="00993488" w:rsidRDefault="00993488">
            <w:pPr>
              <w:pStyle w:val="EMPTYCELLSTYLE"/>
              <w:rPr>
                <w:rFonts w:ascii="Calibri" w:hAnsi="Calibri" w:cs="Calibri"/>
                <w:sz w:val="24"/>
                <w:szCs w:val="24"/>
              </w:rPr>
            </w:pPr>
          </w:p>
        </w:tc>
        <w:tc>
          <w:tcPr>
            <w:tcW w:w="1699" w:type="dxa"/>
            <w:shd w:val="clear" w:color="auto" w:fill="auto"/>
          </w:tcPr>
          <w:p w:rsidR="00993488" w:rsidRDefault="00993488">
            <w:pPr>
              <w:pStyle w:val="EMPTYCELLSTYLE"/>
              <w:rPr>
                <w:rFonts w:ascii="Calibri" w:hAnsi="Calibri" w:cs="Calibri"/>
                <w:sz w:val="24"/>
                <w:szCs w:val="24"/>
              </w:rPr>
            </w:pPr>
          </w:p>
        </w:tc>
        <w:tc>
          <w:tcPr>
            <w:tcW w:w="40" w:type="dxa"/>
            <w:gridSpan w:val="2"/>
            <w:shd w:val="clear" w:color="auto" w:fill="auto"/>
          </w:tcPr>
          <w:p w:rsidR="00993488" w:rsidRDefault="00993488">
            <w:pPr>
              <w:pStyle w:val="EMPTYCELLSTYLE"/>
              <w:rPr>
                <w:rFonts w:ascii="Calibri" w:hAnsi="Calibri" w:cs="Calibri"/>
                <w:sz w:val="24"/>
                <w:szCs w:val="24"/>
              </w:rPr>
            </w:pPr>
          </w:p>
        </w:tc>
      </w:tr>
    </w:tbl>
    <w:p w:rsidR="00993488" w:rsidRDefault="00993488"/>
    <w:p w:rsidR="00993488" w:rsidRDefault="00993488">
      <w:pPr>
        <w:pStyle w:val="Standard"/>
        <w:ind w:left="567" w:right="284"/>
        <w:rPr>
          <w:b/>
          <w:i/>
          <w:sz w:val="22"/>
        </w:rPr>
        <w:sectPr w:rsidR="00993488" w:rsidSect="00B965EF">
          <w:pgSz w:w="11906" w:h="16838"/>
          <w:pgMar w:top="1134" w:right="1134" w:bottom="1134" w:left="1134" w:header="720" w:footer="720" w:gutter="0"/>
          <w:cols w:space="720"/>
        </w:sectPr>
      </w:pPr>
    </w:p>
    <w:tbl>
      <w:tblPr>
        <w:tblW w:w="9941" w:type="dxa"/>
        <w:tblInd w:w="20" w:type="dxa"/>
        <w:tblLayout w:type="fixed"/>
        <w:tblCellMar>
          <w:left w:w="10" w:type="dxa"/>
          <w:right w:w="10" w:type="dxa"/>
        </w:tblCellMar>
        <w:tblLook w:val="0000" w:firstRow="0" w:lastRow="0" w:firstColumn="0" w:lastColumn="0" w:noHBand="0" w:noVBand="0"/>
      </w:tblPr>
      <w:tblGrid>
        <w:gridCol w:w="416"/>
        <w:gridCol w:w="7786"/>
        <w:gridCol w:w="1323"/>
        <w:gridCol w:w="416"/>
      </w:tblGrid>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Pr>
          <w:p w:rsidR="00993488" w:rsidRDefault="00993488">
            <w:pPr>
              <w:pStyle w:val="EMPTYCELLSTYLE"/>
              <w:rPr>
                <w:rFonts w:ascii="Calibri" w:hAnsi="Calibri" w:cs="Calibri"/>
                <w:sz w:val="24"/>
                <w:szCs w:val="24"/>
              </w:rPr>
            </w:pPr>
          </w:p>
        </w:tc>
        <w:tc>
          <w:tcPr>
            <w:tcW w:w="1323" w:type="dxa"/>
            <w:shd w:val="clear" w:color="auto" w:fill="auto"/>
          </w:tcPr>
          <w:p w:rsidR="00993488" w:rsidRDefault="00993488">
            <w:pPr>
              <w:pStyle w:val="EMPTYCELLSTYLE"/>
              <w:rPr>
                <w:rFonts w:ascii="Calibri" w:hAnsi="Calibri" w:cs="Calibri"/>
                <w:sz w:val="24"/>
                <w:szCs w:val="24"/>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104" w:type="dxa"/>
            <w:gridSpan w:val="2"/>
            <w:shd w:val="clear" w:color="auto" w:fill="auto"/>
            <w:tcMar>
              <w:left w:w="0" w:type="dxa"/>
              <w:right w:w="0" w:type="dxa"/>
            </w:tcMar>
            <w:vAlign w:val="bottom"/>
          </w:tcPr>
          <w:p w:rsidR="00993488" w:rsidRDefault="00993488">
            <w:pPr>
              <w:jc w:val="center"/>
            </w:pPr>
            <w:r>
              <w:rPr>
                <w:rFonts w:ascii="Calibri" w:hAnsi="Calibri" w:cs="Calibri"/>
                <w:color w:val="000000"/>
              </w:rPr>
              <w:t>DEMONSTRATIVO DE SUPERÁVIT FINANCEIRO</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104" w:type="dxa"/>
            <w:gridSpan w:val="2"/>
            <w:shd w:val="clear" w:color="auto" w:fill="auto"/>
            <w:tcMar>
              <w:left w:w="0" w:type="dxa"/>
              <w:right w:w="0" w:type="dxa"/>
            </w:tcMar>
          </w:tcPr>
          <w:p w:rsidR="00993488" w:rsidRDefault="00993488">
            <w:pPr>
              <w:jc w:val="center"/>
            </w:pPr>
            <w:r>
              <w:rPr>
                <w:rFonts w:ascii="Calibri" w:hAnsi="Calibri" w:cs="Calibri"/>
                <w:color w:val="000000"/>
              </w:rPr>
              <w:t>(Art. 54, § 6º, da Lei nº 14.791, de 29 de dezembro de 2023)</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104" w:type="dxa"/>
            <w:gridSpan w:val="2"/>
            <w:shd w:val="clear" w:color="auto" w:fill="auto"/>
            <w:tcMar>
              <w:left w:w="0" w:type="dxa"/>
              <w:right w:w="0" w:type="dxa"/>
            </w:tcMar>
          </w:tcPr>
          <w:p w:rsidR="00993488" w:rsidRDefault="00993488">
            <w:r>
              <w:rPr>
                <w:rFonts w:ascii="Calibri" w:hAnsi="Calibri" w:cs="Calibri"/>
                <w:color w:val="000000"/>
              </w:rPr>
              <w:t>Fonte: 000 - RECURSOS LIVRES DA UNIAO</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104" w:type="dxa"/>
            <w:gridSpan w:val="2"/>
            <w:tcBorders>
              <w:bottom w:val="single" w:sz="8" w:space="0" w:color="000000"/>
            </w:tcBorders>
            <w:shd w:val="clear" w:color="auto" w:fill="auto"/>
            <w:tcMar>
              <w:left w:w="0" w:type="dxa"/>
              <w:right w:w="0" w:type="dxa"/>
            </w:tcMar>
          </w:tcPr>
          <w:p w:rsidR="00993488" w:rsidRDefault="00993488">
            <w:pPr>
              <w:jc w:val="right"/>
            </w:pPr>
            <w:r>
              <w:rPr>
                <w:rFonts w:ascii="Calibri" w:hAnsi="Calibri" w:cs="Calibri"/>
                <w:color w:val="000000"/>
              </w:rPr>
              <w:t>R$ 1,00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0" w:type="dxa"/>
              <w:right w:w="0" w:type="dxa"/>
            </w:tcMar>
          </w:tcPr>
          <w:p w:rsidR="00993488" w:rsidRDefault="00993488">
            <w:r>
              <w:rPr>
                <w:rFonts w:ascii="Calibri" w:hAnsi="Calibri" w:cs="Calibri"/>
                <w:color w:val="000000"/>
              </w:rPr>
              <w:t>(A) Superávit Financeiro apurado no balanço patrimonial do exercício de 2023</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70.198.287.728</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0" w:type="dxa"/>
              <w:right w:w="0" w:type="dxa"/>
            </w:tcMar>
          </w:tcPr>
          <w:p w:rsidR="00993488" w:rsidRDefault="00993488">
            <w:r>
              <w:rPr>
                <w:rFonts w:ascii="Calibri" w:hAnsi="Calibri" w:cs="Calibri"/>
                <w:color w:val="000000"/>
              </w:rPr>
              <w:t>(B) Remanejamentos de saldo do superávit financeiro entre unidades, compatíveis com o parágrafo único do art. 8º da LRF</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0" w:type="dxa"/>
              <w:right w:w="0" w:type="dxa"/>
            </w:tcMar>
          </w:tcPr>
          <w:p w:rsidR="00993488" w:rsidRDefault="00993488">
            <w:r>
              <w:rPr>
                <w:rFonts w:ascii="Calibri" w:hAnsi="Calibri" w:cs="Calibri"/>
                <w:color w:val="000000"/>
              </w:rPr>
              <w:t>(C) Créditos Especiais e Extraordinários Reabertos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405.228.053</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405.228.053</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0" w:type="dxa"/>
              <w:right w:w="0" w:type="dxa"/>
            </w:tcMar>
          </w:tcPr>
          <w:p w:rsidR="00993488" w:rsidRDefault="00993488">
            <w:r>
              <w:rPr>
                <w:rFonts w:ascii="Calibri" w:hAnsi="Calibri" w:cs="Calibri"/>
                <w:color w:val="000000"/>
              </w:rPr>
              <w:t>(D) Créditos Extraordinários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26.227.418.070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25.305.444.558</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921.973.512</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0" w:type="dxa"/>
              <w:right w:w="0" w:type="dxa"/>
            </w:tcMar>
          </w:tcPr>
          <w:p w:rsidR="00993488" w:rsidRDefault="00993488">
            <w:r>
              <w:rPr>
                <w:rFonts w:ascii="Calibri" w:hAnsi="Calibri" w:cs="Calibri"/>
                <w:color w:val="000000"/>
              </w:rPr>
              <w:t>(E) Créditos Suplementares e Especiais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3.910.475.131</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3.910.475.131</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0" w:type="dxa"/>
              <w:right w:w="0" w:type="dxa"/>
            </w:tcMar>
          </w:tcPr>
          <w:p w:rsidR="00993488" w:rsidRDefault="00993488">
            <w:r>
              <w:rPr>
                <w:rFonts w:ascii="Calibri" w:hAnsi="Calibri" w:cs="Calibri"/>
                <w:color w:val="000000"/>
              </w:rPr>
              <w:t>(F) Outras alterações orçamentárias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10.197.574.336</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10.197.574.336</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786" w:type="dxa"/>
            <w:tcBorders>
              <w:top w:val="single" w:sz="8" w:space="0" w:color="000000"/>
              <w:bottom w:val="single" w:sz="8" w:space="0" w:color="000000"/>
            </w:tcBorders>
            <w:shd w:val="clear" w:color="auto" w:fill="auto"/>
            <w:tcMar>
              <w:left w:w="0" w:type="dxa"/>
              <w:right w:w="0" w:type="dxa"/>
            </w:tcMar>
          </w:tcPr>
          <w:p w:rsidR="00993488" w:rsidRDefault="00993488">
            <w:r>
              <w:rPr>
                <w:rFonts w:ascii="Calibri" w:hAnsi="Calibri" w:cs="Calibri"/>
                <w:b/>
                <w:color w:val="000000"/>
              </w:rPr>
              <w:t>(G) Saldo = (A) + (B) - (C) - (D) - (E) - (F)</w:t>
            </w:r>
          </w:p>
        </w:tc>
        <w:tc>
          <w:tcPr>
            <w:tcW w:w="1323" w:type="dxa"/>
            <w:tcBorders>
              <w:top w:val="single" w:sz="8" w:space="0" w:color="000000"/>
              <w:bottom w:val="single" w:sz="8" w:space="0" w:color="000000"/>
            </w:tcBorders>
            <w:shd w:val="clear" w:color="auto" w:fill="auto"/>
            <w:tcMar>
              <w:left w:w="0" w:type="dxa"/>
              <w:right w:w="0" w:type="dxa"/>
            </w:tcMar>
          </w:tcPr>
          <w:p w:rsidR="00993488" w:rsidRDefault="00993488">
            <w:pPr>
              <w:jc w:val="right"/>
            </w:pPr>
            <w:r>
              <w:rPr>
                <w:rFonts w:ascii="Calibri" w:hAnsi="Calibri" w:cs="Calibri"/>
                <w:b/>
                <w:color w:val="000000"/>
              </w:rPr>
              <w:t>29.457.592.138</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104" w:type="dxa"/>
            <w:gridSpan w:val="2"/>
            <w:shd w:val="clear" w:color="auto" w:fill="auto"/>
            <w:tcMar>
              <w:left w:w="0" w:type="dxa"/>
              <w:right w:w="0" w:type="dxa"/>
            </w:tcMar>
          </w:tcPr>
          <w:p w:rsidR="00993488" w:rsidRDefault="00993488">
            <w:pPr>
              <w:pStyle w:val="NormalWeb"/>
              <w:spacing w:before="0" w:after="0"/>
              <w:rPr>
                <w:color w:val="000000"/>
                <w:sz w:val="18"/>
                <w:szCs w:val="18"/>
              </w:rPr>
            </w:pPr>
            <w:r>
              <w:rPr>
                <w:color w:val="000000"/>
                <w:sz w:val="18"/>
                <w:szCs w:val="18"/>
              </w:rPr>
              <w:t>(A) Portaria STN/MF nº 292, de 22 de fevereiro de 2024.</w:t>
            </w:r>
          </w:p>
          <w:p w:rsidR="00993488" w:rsidRDefault="00993488">
            <w:pPr>
              <w:pStyle w:val="NormalWeb"/>
              <w:spacing w:before="0" w:after="0"/>
              <w:rPr>
                <w:rFonts w:ascii="Calibri" w:hAnsi="Calibri" w:cs="Calibri"/>
              </w:rPr>
            </w:pPr>
            <w:r>
              <w:rPr>
                <w:color w:val="000000"/>
                <w:sz w:val="18"/>
                <w:szCs w:val="18"/>
              </w:rPr>
              <w:t>Posição em 28/06/2024.</w:t>
            </w:r>
          </w:p>
          <w:p w:rsidR="00993488" w:rsidRDefault="00993488">
            <w:pPr>
              <w:rPr>
                <w:rFonts w:ascii="Calibri" w:hAnsi="Calibri" w:cs="Calibri"/>
              </w:rPr>
            </w:pPr>
          </w:p>
        </w:tc>
        <w:tc>
          <w:tcPr>
            <w:tcW w:w="416" w:type="dxa"/>
            <w:shd w:val="clear" w:color="auto" w:fill="auto"/>
          </w:tcPr>
          <w:p w:rsidR="00993488" w:rsidRDefault="00993488">
            <w:pPr>
              <w:pStyle w:val="EMPTYCELLSTYLE"/>
              <w:rPr>
                <w:rFonts w:ascii="Calibri" w:hAnsi="Calibri" w:cs="Calibri"/>
                <w:sz w:val="24"/>
                <w:szCs w:val="24"/>
              </w:rPr>
            </w:pPr>
          </w:p>
        </w:tc>
      </w:tr>
    </w:tbl>
    <w:p w:rsidR="00993488" w:rsidRDefault="00993488">
      <w:r>
        <w:rPr>
          <w:rFonts w:eastAsia="Times New Roman" w:cs="Times New Roman"/>
          <w:sz w:val="20"/>
        </w:rPr>
        <w:br w:type="page"/>
      </w:r>
    </w:p>
    <w:tbl>
      <w:tblPr>
        <w:tblW w:w="10083" w:type="dxa"/>
        <w:tblInd w:w="20" w:type="dxa"/>
        <w:tblLayout w:type="fixed"/>
        <w:tblCellMar>
          <w:left w:w="10" w:type="dxa"/>
          <w:right w:w="10" w:type="dxa"/>
        </w:tblCellMar>
        <w:tblLook w:val="0000" w:firstRow="0" w:lastRow="0" w:firstColumn="0" w:lastColumn="0" w:noHBand="0" w:noVBand="0"/>
      </w:tblPr>
      <w:tblGrid>
        <w:gridCol w:w="416"/>
        <w:gridCol w:w="7928"/>
        <w:gridCol w:w="1323"/>
        <w:gridCol w:w="416"/>
      </w:tblGrid>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pPr>
              <w:rPr>
                <w:rFonts w:ascii="Calibri" w:hAnsi="Calibri" w:cs="Calibri"/>
                <w:color w:val="000000"/>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bookmarkStart w:id="3" w:name="JR_PAGE_ANCHOR_0_2"/>
            <w:bookmarkEnd w:id="3"/>
          </w:p>
        </w:tc>
        <w:tc>
          <w:tcPr>
            <w:tcW w:w="7928" w:type="dxa"/>
            <w:shd w:val="clear" w:color="auto" w:fill="auto"/>
          </w:tcPr>
          <w:p w:rsidR="00993488" w:rsidRDefault="00993488">
            <w:pPr>
              <w:pStyle w:val="EMPTYCELLSTYLE"/>
              <w:rPr>
                <w:rFonts w:ascii="Calibri" w:hAnsi="Calibri" w:cs="Calibri"/>
                <w:sz w:val="24"/>
                <w:szCs w:val="24"/>
              </w:rPr>
            </w:pPr>
          </w:p>
        </w:tc>
        <w:tc>
          <w:tcPr>
            <w:tcW w:w="1323" w:type="dxa"/>
            <w:shd w:val="clear" w:color="auto" w:fill="auto"/>
          </w:tcPr>
          <w:p w:rsidR="00993488" w:rsidRDefault="00993488">
            <w:pPr>
              <w:pStyle w:val="EMPTYCELLSTYLE"/>
              <w:rPr>
                <w:rFonts w:ascii="Calibri" w:hAnsi="Calibri" w:cs="Calibri"/>
                <w:sz w:val="24"/>
                <w:szCs w:val="24"/>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vAlign w:val="bottom"/>
          </w:tcPr>
          <w:p w:rsidR="00993488" w:rsidRDefault="00993488">
            <w:pPr>
              <w:jc w:val="center"/>
            </w:pPr>
            <w:r>
              <w:rPr>
                <w:rFonts w:ascii="Calibri" w:hAnsi="Calibri" w:cs="Calibri"/>
                <w:color w:val="000000"/>
              </w:rPr>
              <w:t>DEMONSTRATIVO DE SUPERÁVIT FINANCEIRO</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pPr>
              <w:jc w:val="center"/>
            </w:pPr>
            <w:r>
              <w:rPr>
                <w:rFonts w:ascii="Calibri" w:hAnsi="Calibri" w:cs="Calibri"/>
                <w:color w:val="000000"/>
              </w:rPr>
              <w:t>(Art. 54, § 6º, da Lei nº 14.791, de 29 de dezembro de 2023)</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r>
              <w:rPr>
                <w:rFonts w:ascii="Calibri" w:hAnsi="Calibri" w:cs="Calibri"/>
                <w:color w:val="000000"/>
              </w:rPr>
              <w:t>Fonte: 050 - RECURSOS PROPRIOS LIVRES DA UO</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r>
              <w:rPr>
                <w:rFonts w:ascii="Calibri" w:hAnsi="Calibri" w:cs="Calibri"/>
                <w:color w:val="000000"/>
              </w:rPr>
              <w:t>Unidade Orçamentária: 40101 - Ministério do Trabalho e Emprego - Administração Direta</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tcBorders>
              <w:bottom w:val="single" w:sz="8" w:space="0" w:color="000000"/>
            </w:tcBorders>
            <w:shd w:val="clear" w:color="auto" w:fill="auto"/>
            <w:tcMar>
              <w:left w:w="0" w:type="dxa"/>
              <w:right w:w="0" w:type="dxa"/>
            </w:tcMar>
          </w:tcPr>
          <w:p w:rsidR="00993488" w:rsidRDefault="00993488">
            <w:pPr>
              <w:jc w:val="right"/>
            </w:pPr>
            <w:r>
              <w:rPr>
                <w:rFonts w:ascii="Calibri" w:hAnsi="Calibri" w:cs="Calibri"/>
                <w:color w:val="000000"/>
              </w:rPr>
              <w:t>R$ 1,00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(A) Superávit Financeiro apurado no balanço patrimonial do exercício de 2023</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828.088</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(B) Remanejamentos de saldo do superávit financeiro entre unidades, compatíveis com o parágrafo único do art. 8º da LRF</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(C) Créditos Especiais e Extraordinários Reabertos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(D) Créditos Extraordinários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828.088</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828.088</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(E) Créditos Suplementares e Especiais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(F) Outras alterações orçamentárias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top w:val="single" w:sz="8" w:space="0" w:color="000000"/>
              <w:bottom w:val="single" w:sz="8" w:space="0" w:color="000000"/>
            </w:tcBorders>
            <w:shd w:val="clear" w:color="auto" w:fill="auto"/>
            <w:tcMar>
              <w:left w:w="0" w:type="dxa"/>
              <w:right w:w="0" w:type="dxa"/>
            </w:tcMar>
          </w:tcPr>
          <w:p w:rsidR="00993488" w:rsidRDefault="00993488">
            <w:r>
              <w:rPr>
                <w:rFonts w:ascii="Calibri" w:hAnsi="Calibri" w:cs="Calibri"/>
                <w:b/>
                <w:color w:val="000000"/>
              </w:rPr>
              <w:t>(G) Saldo = (A) + (B) - (C) - (D) - (E) - (F)</w:t>
            </w:r>
          </w:p>
        </w:tc>
        <w:tc>
          <w:tcPr>
            <w:tcW w:w="1323" w:type="dxa"/>
            <w:tcBorders>
              <w:top w:val="single" w:sz="8" w:space="0" w:color="000000"/>
              <w:bottom w:val="single" w:sz="8" w:space="0" w:color="000000"/>
            </w:tcBorders>
            <w:shd w:val="clear" w:color="auto" w:fill="auto"/>
            <w:tcMar>
              <w:left w:w="0" w:type="dxa"/>
              <w:right w:w="0" w:type="dxa"/>
            </w:tcMar>
          </w:tcPr>
          <w:p w:rsidR="00993488" w:rsidRDefault="00993488">
            <w:pPr>
              <w:jc w:val="right"/>
            </w:pPr>
            <w:r>
              <w:rPr>
                <w:rFonts w:ascii="Calibri" w:hAnsi="Calibri" w:cs="Calibri"/>
                <w:b/>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top w:val="single" w:sz="8" w:space="0" w:color="000000"/>
            </w:tcBorders>
            <w:shd w:val="clear" w:color="auto" w:fill="auto"/>
            <w:tcMar>
              <w:left w:w="0" w:type="dxa"/>
              <w:right w:w="0" w:type="dxa"/>
            </w:tcMar>
          </w:tcPr>
          <w:p w:rsidR="00993488" w:rsidRDefault="00993488">
            <w:pPr>
              <w:pStyle w:val="NormalWeb"/>
              <w:spacing w:before="0" w:after="0"/>
              <w:rPr>
                <w:color w:val="000000"/>
                <w:sz w:val="18"/>
                <w:szCs w:val="18"/>
              </w:rPr>
            </w:pPr>
            <w:r>
              <w:rPr>
                <w:color w:val="000000"/>
                <w:sz w:val="18"/>
                <w:szCs w:val="18"/>
              </w:rPr>
              <w:t>(A) Portaria STN/MF nº 292, de 22 de fevereiro de 2024.</w:t>
            </w:r>
          </w:p>
          <w:p w:rsidR="00993488" w:rsidRDefault="00993488">
            <w:pPr>
              <w:pStyle w:val="NormalWeb"/>
              <w:spacing w:before="0" w:after="0"/>
              <w:rPr>
                <w:rFonts w:ascii="Calibri" w:hAnsi="Calibri" w:cs="Calibri"/>
              </w:rPr>
            </w:pPr>
            <w:r>
              <w:rPr>
                <w:color w:val="000000"/>
                <w:sz w:val="18"/>
                <w:szCs w:val="18"/>
              </w:rPr>
              <w:t>Posição em 28/06/2024.</w:t>
            </w:r>
          </w:p>
          <w:p w:rsidR="00993488" w:rsidRDefault="00993488">
            <w:pPr>
              <w:rPr>
                <w:rFonts w:ascii="Calibri" w:hAnsi="Calibri" w:cs="Calibri"/>
              </w:rPr>
            </w:pPr>
          </w:p>
        </w:tc>
        <w:tc>
          <w:tcPr>
            <w:tcW w:w="1323" w:type="dxa"/>
            <w:tcBorders>
              <w:top w:val="single" w:sz="8" w:space="0" w:color="000000"/>
            </w:tcBorders>
            <w:shd w:val="clear" w:color="auto" w:fill="auto"/>
            <w:tcMar>
              <w:left w:w="0" w:type="dxa"/>
              <w:right w:w="0" w:type="dxa"/>
            </w:tcMar>
          </w:tcPr>
          <w:p w:rsidR="00993488" w:rsidRDefault="00993488">
            <w:pPr>
              <w:jc w:val="right"/>
              <w:rPr>
                <w:rFonts w:ascii="Calibri" w:hAnsi="Calibri" w:cs="Calibri"/>
                <w:b/>
                <w:color w:val="000000"/>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pPr>
              <w:rPr>
                <w:rFonts w:ascii="Calibri" w:hAnsi="Calibri" w:cs="Calibri"/>
              </w:rPr>
            </w:pPr>
          </w:p>
        </w:tc>
        <w:tc>
          <w:tcPr>
            <w:tcW w:w="416" w:type="dxa"/>
            <w:shd w:val="clear" w:color="auto" w:fill="auto"/>
          </w:tcPr>
          <w:p w:rsidR="00993488" w:rsidRDefault="00993488">
            <w:pPr>
              <w:pStyle w:val="EMPTYCELLSTYLE"/>
              <w:rPr>
                <w:rFonts w:ascii="Calibri" w:hAnsi="Calibri" w:cs="Calibri"/>
                <w:sz w:val="24"/>
                <w:szCs w:val="24"/>
              </w:rPr>
            </w:pPr>
          </w:p>
        </w:tc>
      </w:tr>
    </w:tbl>
    <w:p w:rsidR="00993488" w:rsidRDefault="00993488">
      <w:bookmarkStart w:id="4" w:name="JR_PAGE_ANCHOR_0_3"/>
      <w:bookmarkEnd w:id="4"/>
      <w:r>
        <w:rPr>
          <w:rFonts w:eastAsia="Times New Roman" w:cs="Times New Roman"/>
          <w:sz w:val="20"/>
        </w:rPr>
        <w:br w:type="page"/>
      </w:r>
    </w:p>
    <w:tbl>
      <w:tblPr>
        <w:tblW w:w="10083" w:type="dxa"/>
        <w:tblInd w:w="20" w:type="dxa"/>
        <w:tblLayout w:type="fixed"/>
        <w:tblCellMar>
          <w:left w:w="10" w:type="dxa"/>
          <w:right w:w="10" w:type="dxa"/>
        </w:tblCellMar>
        <w:tblLook w:val="0000" w:firstRow="0" w:lastRow="0" w:firstColumn="0" w:lastColumn="0" w:noHBand="0" w:noVBand="0"/>
      </w:tblPr>
      <w:tblGrid>
        <w:gridCol w:w="416"/>
        <w:gridCol w:w="7928"/>
        <w:gridCol w:w="1323"/>
        <w:gridCol w:w="416"/>
      </w:tblGrid>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Pr>
          <w:p w:rsidR="00993488" w:rsidRDefault="00993488">
            <w:pPr>
              <w:pStyle w:val="EMPTYCELLSTYLE"/>
              <w:rPr>
                <w:rFonts w:ascii="Calibri" w:hAnsi="Calibri" w:cs="Calibri"/>
                <w:sz w:val="24"/>
                <w:szCs w:val="24"/>
              </w:rPr>
            </w:pPr>
          </w:p>
        </w:tc>
        <w:tc>
          <w:tcPr>
            <w:tcW w:w="1323" w:type="dxa"/>
            <w:shd w:val="clear" w:color="auto" w:fill="auto"/>
          </w:tcPr>
          <w:p w:rsidR="00993488" w:rsidRDefault="00993488">
            <w:pPr>
              <w:pStyle w:val="EMPTYCELLSTYLE"/>
              <w:rPr>
                <w:rFonts w:ascii="Calibri" w:hAnsi="Calibri" w:cs="Calibri"/>
                <w:sz w:val="24"/>
                <w:szCs w:val="24"/>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vAlign w:val="bottom"/>
          </w:tcPr>
          <w:p w:rsidR="00993488" w:rsidRDefault="00993488">
            <w:pPr>
              <w:jc w:val="center"/>
            </w:pPr>
            <w:r>
              <w:rPr>
                <w:rFonts w:ascii="Calibri" w:hAnsi="Calibri" w:cs="Calibri"/>
                <w:color w:val="000000"/>
              </w:rPr>
              <w:t>DEMONSTRATIVO DE SUPERÁVIT FINANCEIRO</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pPr>
              <w:jc w:val="center"/>
            </w:pPr>
            <w:r>
              <w:rPr>
                <w:rFonts w:ascii="Calibri" w:hAnsi="Calibri" w:cs="Calibri"/>
                <w:color w:val="000000"/>
              </w:rPr>
              <w:t>(Art. 54, § 6º, da Lei nº 14.791, de 29 de dezembro de 2023)</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r>
              <w:rPr>
                <w:rFonts w:ascii="Calibri" w:hAnsi="Calibri" w:cs="Calibri"/>
                <w:color w:val="000000"/>
              </w:rPr>
              <w:t>Fonte: 052 - RECURSOS LIVRES DA UO</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shd w:val="clear" w:color="auto" w:fill="auto"/>
            <w:tcMar>
              <w:left w:w="0" w:type="dxa"/>
              <w:right w:w="0" w:type="dxa"/>
            </w:tcMar>
          </w:tcPr>
          <w:p w:rsidR="00993488" w:rsidRDefault="00993488">
            <w:r>
              <w:rPr>
                <w:rFonts w:ascii="Calibri" w:hAnsi="Calibri" w:cs="Calibri"/>
                <w:color w:val="000000"/>
              </w:rPr>
              <w:t>Unidade Orçamentária: 40101 - Ministério do Trabalho e Emprego - Administração Direta</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9246" w:type="dxa"/>
            <w:gridSpan w:val="2"/>
            <w:tcBorders>
              <w:bottom w:val="single" w:sz="8" w:space="0" w:color="000000"/>
            </w:tcBorders>
            <w:shd w:val="clear" w:color="auto" w:fill="auto"/>
            <w:tcMar>
              <w:left w:w="0" w:type="dxa"/>
              <w:right w:w="0" w:type="dxa"/>
            </w:tcMar>
          </w:tcPr>
          <w:p w:rsidR="00993488" w:rsidRDefault="00993488">
            <w:pPr>
              <w:jc w:val="right"/>
            </w:pPr>
            <w:r>
              <w:rPr>
                <w:rFonts w:ascii="Calibri" w:hAnsi="Calibri" w:cs="Calibri"/>
                <w:color w:val="000000"/>
              </w:rPr>
              <w:t>R$ 1,00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(A) Superávit Financeiro apurado no balanço patrimonial do exercício de 2023</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988.640.377</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(B) Remanejamentos de saldo do superávit financeiro entre unidades, compatíveis com o parágrafo único do art. 8º da LRF</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(C) Créditos Especiais e Extraordinários Reabertos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(D) Créditos Extraordinários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988.640.377</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988.640.377</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(E) Créditos Suplementares e Especiais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0" w:type="dxa"/>
              <w:right w:w="0" w:type="dxa"/>
            </w:tcMar>
          </w:tcPr>
          <w:p w:rsidR="00993488" w:rsidRDefault="00993488">
            <w:r>
              <w:rPr>
                <w:rFonts w:ascii="Calibri" w:hAnsi="Calibri" w:cs="Calibri"/>
                <w:color w:val="000000"/>
              </w:rPr>
              <w:t>(F) Outras alterações orçamentárias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Abertos</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shd w:val="clear" w:color="auto" w:fill="auto"/>
            <w:tcMar>
              <w:left w:w="2220" w:type="dxa"/>
              <w:right w:w="0" w:type="dxa"/>
            </w:tcMar>
          </w:tcPr>
          <w:p w:rsidR="00993488" w:rsidRDefault="00993488">
            <w:r>
              <w:rPr>
                <w:rFonts w:ascii="Calibri" w:hAnsi="Calibri" w:cs="Calibri"/>
                <w:color w:val="000000"/>
              </w:rPr>
              <w:t>Em Tramitação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bottom w:val="single" w:sz="8" w:space="0" w:color="000000"/>
            </w:tcBorders>
            <w:shd w:val="clear" w:color="auto" w:fill="auto"/>
            <w:tcMar>
              <w:left w:w="2220" w:type="dxa"/>
              <w:right w:w="0" w:type="dxa"/>
            </w:tcMar>
          </w:tcPr>
          <w:p w:rsidR="00993488" w:rsidRDefault="00993488">
            <w:r>
              <w:rPr>
                <w:rFonts w:ascii="Calibri" w:hAnsi="Calibri" w:cs="Calibri"/>
                <w:color w:val="000000"/>
              </w:rPr>
              <w:t>Valor deste crédito</w:t>
            </w:r>
          </w:p>
        </w:tc>
        <w:tc>
          <w:tcPr>
            <w:tcW w:w="1323" w:type="dxa"/>
            <w:shd w:val="clear" w:color="auto" w:fill="auto"/>
            <w:tcMar>
              <w:left w:w="0" w:type="dxa"/>
              <w:right w:w="0" w:type="dxa"/>
            </w:tcMar>
          </w:tcPr>
          <w:p w:rsidR="00993488" w:rsidRDefault="00993488">
            <w:pPr>
              <w:jc w:val="right"/>
            </w:pPr>
            <w:r>
              <w:rPr>
                <w:rFonts w:ascii="Calibri" w:hAnsi="Calibri" w:cs="Calibri"/>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top w:val="single" w:sz="8" w:space="0" w:color="000000"/>
              <w:bottom w:val="single" w:sz="4" w:space="0" w:color="000000"/>
            </w:tcBorders>
            <w:shd w:val="clear" w:color="auto" w:fill="auto"/>
            <w:tcMar>
              <w:left w:w="0" w:type="dxa"/>
              <w:right w:w="0" w:type="dxa"/>
            </w:tcMar>
          </w:tcPr>
          <w:p w:rsidR="00993488" w:rsidRDefault="00993488">
            <w:r>
              <w:rPr>
                <w:rFonts w:ascii="Calibri" w:hAnsi="Calibri" w:cs="Calibri"/>
                <w:b/>
                <w:color w:val="000000"/>
              </w:rPr>
              <w:t>(G) Saldo = (A) + (B) - (C) - (D) - (E) - (F)</w:t>
            </w:r>
          </w:p>
        </w:tc>
        <w:tc>
          <w:tcPr>
            <w:tcW w:w="1323" w:type="dxa"/>
            <w:tcBorders>
              <w:top w:val="single" w:sz="8" w:space="0" w:color="000000"/>
              <w:bottom w:val="single" w:sz="8" w:space="0" w:color="000000"/>
            </w:tcBorders>
            <w:shd w:val="clear" w:color="auto" w:fill="auto"/>
            <w:tcMar>
              <w:left w:w="0" w:type="dxa"/>
              <w:right w:w="0" w:type="dxa"/>
            </w:tcMar>
          </w:tcPr>
          <w:p w:rsidR="00993488" w:rsidRDefault="00993488">
            <w:pPr>
              <w:jc w:val="right"/>
            </w:pPr>
            <w:r>
              <w:rPr>
                <w:rFonts w:ascii="Calibri" w:hAnsi="Calibri" w:cs="Calibri"/>
                <w:b/>
                <w:color w:val="000000"/>
              </w:rPr>
              <w:t>0</w:t>
            </w: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top w:val="single" w:sz="4" w:space="0" w:color="000000"/>
              <w:bottom w:val="single" w:sz="4" w:space="0" w:color="000000"/>
            </w:tcBorders>
            <w:shd w:val="clear" w:color="auto" w:fill="auto"/>
            <w:tcMar>
              <w:left w:w="0" w:type="dxa"/>
              <w:right w:w="0" w:type="dxa"/>
            </w:tcMar>
          </w:tcPr>
          <w:p w:rsidR="00993488" w:rsidRDefault="00993488">
            <w:pPr>
              <w:pStyle w:val="NormalWeb"/>
              <w:spacing w:before="0" w:after="0"/>
              <w:rPr>
                <w:color w:val="000000"/>
                <w:sz w:val="18"/>
                <w:szCs w:val="18"/>
              </w:rPr>
            </w:pPr>
            <w:r>
              <w:rPr>
                <w:color w:val="000000"/>
                <w:sz w:val="18"/>
                <w:szCs w:val="18"/>
              </w:rPr>
              <w:t>(A) Portaria STN/MF nº 292, de 22 de fevereiro de 2024.</w:t>
            </w:r>
          </w:p>
          <w:p w:rsidR="00993488" w:rsidRDefault="00993488" w:rsidP="00C752DC">
            <w:pPr>
              <w:pStyle w:val="NormalWeb"/>
              <w:spacing w:before="0" w:after="0"/>
              <w:rPr>
                <w:rFonts w:ascii="Calibri" w:hAnsi="Calibri" w:cs="Calibri"/>
              </w:rPr>
            </w:pPr>
            <w:r>
              <w:rPr>
                <w:color w:val="000000"/>
                <w:sz w:val="18"/>
                <w:szCs w:val="18"/>
              </w:rPr>
              <w:t>Posição em 28/06/2024.</w:t>
            </w:r>
          </w:p>
        </w:tc>
        <w:tc>
          <w:tcPr>
            <w:tcW w:w="1323" w:type="dxa"/>
            <w:tcBorders>
              <w:top w:val="single" w:sz="8" w:space="0" w:color="000000"/>
              <w:bottom w:val="single" w:sz="8" w:space="0" w:color="000000"/>
            </w:tcBorders>
            <w:shd w:val="clear" w:color="auto" w:fill="auto"/>
            <w:tcMar>
              <w:left w:w="0" w:type="dxa"/>
              <w:right w:w="0" w:type="dxa"/>
            </w:tcMar>
          </w:tcPr>
          <w:p w:rsidR="00993488" w:rsidRDefault="00993488">
            <w:pPr>
              <w:jc w:val="right"/>
              <w:rPr>
                <w:rFonts w:ascii="Calibri" w:hAnsi="Calibri" w:cs="Calibri"/>
                <w:b/>
                <w:color w:val="000000"/>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top w:val="single" w:sz="4" w:space="0" w:color="000000"/>
            </w:tcBorders>
            <w:shd w:val="clear" w:color="auto" w:fill="auto"/>
            <w:tcMar>
              <w:left w:w="0" w:type="dxa"/>
              <w:right w:w="0" w:type="dxa"/>
            </w:tcMar>
          </w:tcPr>
          <w:p w:rsidR="00993488" w:rsidRDefault="00993488">
            <w:pPr>
              <w:pStyle w:val="NormalWeb"/>
              <w:spacing w:before="0" w:after="0"/>
              <w:rPr>
                <w:color w:val="000000"/>
                <w:sz w:val="18"/>
                <w:szCs w:val="18"/>
              </w:rPr>
            </w:pPr>
          </w:p>
        </w:tc>
        <w:tc>
          <w:tcPr>
            <w:tcW w:w="1323" w:type="dxa"/>
            <w:tcBorders>
              <w:top w:val="single" w:sz="8" w:space="0" w:color="000000"/>
            </w:tcBorders>
            <w:shd w:val="clear" w:color="auto" w:fill="auto"/>
            <w:tcMar>
              <w:left w:w="0" w:type="dxa"/>
              <w:right w:w="0" w:type="dxa"/>
            </w:tcMar>
          </w:tcPr>
          <w:p w:rsidR="00993488" w:rsidRDefault="00993488">
            <w:pPr>
              <w:jc w:val="right"/>
              <w:rPr>
                <w:rFonts w:ascii="Calibri" w:hAnsi="Calibri" w:cs="Calibri"/>
                <w:b/>
                <w:color w:val="000000"/>
              </w:rPr>
            </w:pPr>
          </w:p>
        </w:tc>
        <w:tc>
          <w:tcPr>
            <w:tcW w:w="416" w:type="dxa"/>
            <w:shd w:val="clear" w:color="auto" w:fill="auto"/>
          </w:tcPr>
          <w:p w:rsidR="00993488" w:rsidRDefault="00993488">
            <w:pPr>
              <w:pStyle w:val="EMPTYCELLSTYLE"/>
              <w:rPr>
                <w:rFonts w:ascii="Calibri" w:hAnsi="Calibri" w:cs="Calibri"/>
                <w:sz w:val="24"/>
                <w:szCs w:val="24"/>
              </w:rPr>
            </w:pPr>
          </w:p>
        </w:tc>
      </w:tr>
      <w:tr w:rsidR="00993488" w:rsidTr="00993488">
        <w:trPr>
          <w:trHeight w:val="340"/>
        </w:trPr>
        <w:tc>
          <w:tcPr>
            <w:tcW w:w="416" w:type="dxa"/>
            <w:shd w:val="clear" w:color="auto" w:fill="auto"/>
          </w:tcPr>
          <w:p w:rsidR="00993488" w:rsidRDefault="00993488">
            <w:pPr>
              <w:pStyle w:val="EMPTYCELLSTYLE"/>
              <w:rPr>
                <w:rFonts w:ascii="Calibri" w:hAnsi="Calibri" w:cs="Calibri"/>
                <w:sz w:val="24"/>
                <w:szCs w:val="24"/>
              </w:rPr>
            </w:pPr>
          </w:p>
        </w:tc>
        <w:tc>
          <w:tcPr>
            <w:tcW w:w="7928" w:type="dxa"/>
            <w:tcBorders>
              <w:top w:val="single" w:sz="4" w:space="0" w:color="000000"/>
            </w:tcBorders>
            <w:shd w:val="clear" w:color="auto" w:fill="auto"/>
            <w:tcMar>
              <w:left w:w="0" w:type="dxa"/>
              <w:right w:w="0" w:type="dxa"/>
            </w:tcMar>
          </w:tcPr>
          <w:p w:rsidR="00993488" w:rsidRDefault="00993488">
            <w:pPr>
              <w:pStyle w:val="NormalWeb"/>
              <w:spacing w:before="0" w:after="0"/>
              <w:rPr>
                <w:color w:val="000000"/>
                <w:sz w:val="18"/>
                <w:szCs w:val="18"/>
              </w:rPr>
            </w:pPr>
          </w:p>
        </w:tc>
        <w:tc>
          <w:tcPr>
            <w:tcW w:w="1323" w:type="dxa"/>
            <w:tcBorders>
              <w:top w:val="single" w:sz="8" w:space="0" w:color="000000"/>
            </w:tcBorders>
            <w:shd w:val="clear" w:color="auto" w:fill="auto"/>
            <w:tcMar>
              <w:left w:w="0" w:type="dxa"/>
              <w:right w:w="0" w:type="dxa"/>
            </w:tcMar>
          </w:tcPr>
          <w:p w:rsidR="00993488" w:rsidRDefault="00993488">
            <w:pPr>
              <w:jc w:val="right"/>
              <w:rPr>
                <w:rFonts w:ascii="Calibri" w:hAnsi="Calibri" w:cs="Calibri"/>
                <w:b/>
                <w:color w:val="000000"/>
              </w:rPr>
            </w:pPr>
          </w:p>
        </w:tc>
        <w:tc>
          <w:tcPr>
            <w:tcW w:w="416" w:type="dxa"/>
            <w:shd w:val="clear" w:color="auto" w:fill="auto"/>
          </w:tcPr>
          <w:p w:rsidR="00993488" w:rsidRDefault="00993488">
            <w:pPr>
              <w:pStyle w:val="EMPTYCELLSTYLE"/>
              <w:rPr>
                <w:rFonts w:ascii="Calibri" w:hAnsi="Calibri" w:cs="Calibri"/>
                <w:sz w:val="24"/>
                <w:szCs w:val="24"/>
              </w:rPr>
            </w:pPr>
          </w:p>
        </w:tc>
      </w:tr>
    </w:tbl>
    <w:p w:rsidR="00993488" w:rsidRDefault="00993488"/>
    <w:p w:rsidR="00F054CE" w:rsidRDefault="00F054CE">
      <w:pPr>
        <w:pStyle w:val="Standard"/>
        <w:ind w:left="567" w:right="284"/>
        <w:rPr>
          <w:b/>
          <w:i/>
          <w:sz w:val="22"/>
        </w:rPr>
      </w:pPr>
    </w:p>
    <w:sectPr w:rsidR="00F054CE" w:rsidSect="001D41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F4" w:rsidRDefault="003A0F77">
      <w:r>
        <w:separator/>
      </w:r>
    </w:p>
  </w:endnote>
  <w:endnote w:type="continuationSeparator" w:id="0">
    <w:p w:rsidR="00876CF4" w:rsidRDefault="003A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ansSerif">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F4" w:rsidRDefault="003A0F77">
      <w:r>
        <w:rPr>
          <w:color w:val="000000"/>
        </w:rPr>
        <w:ptab w:relativeTo="margin" w:alignment="center" w:leader="none"/>
      </w:r>
    </w:p>
  </w:footnote>
  <w:footnote w:type="continuationSeparator" w:id="0">
    <w:p w:rsidR="00876CF4" w:rsidRDefault="003A0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CE"/>
    <w:rsid w:val="003A0F77"/>
    <w:rsid w:val="00446700"/>
    <w:rsid w:val="00876CF4"/>
    <w:rsid w:val="00993488"/>
    <w:rsid w:val="00F05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27C3C-DFCE-4827-924C-38923D3E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993488"/>
    <w:pPr>
      <w:widowControl/>
      <w:autoSpaceDN/>
      <w:textAlignment w:val="auto"/>
    </w:pPr>
    <w:rPr>
      <w:rFonts w:ascii="SansSerif" w:eastAsia="SansSerif" w:hAnsi="SansSerif" w:cs="SansSerif"/>
      <w:color w:val="000000"/>
      <w:kern w:val="0"/>
      <w:sz w:val="1"/>
      <w:szCs w:val="20"/>
      <w:lang w:eastAsia="pt-BR" w:bidi="ar-SA"/>
    </w:rPr>
  </w:style>
  <w:style w:type="paragraph" w:styleId="NormalWeb">
    <w:name w:val="Normal (Web)"/>
    <w:basedOn w:val="Normal"/>
    <w:rsid w:val="00993488"/>
    <w:pPr>
      <w:widowControl/>
      <w:autoSpaceDN/>
      <w:spacing w:before="280" w:after="280"/>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11957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Milton Guilhon Rosa</cp:lastModifiedBy>
  <cp:revision>2</cp:revision>
  <dcterms:created xsi:type="dcterms:W3CDTF">2024-07-05T19:18:00Z</dcterms:created>
  <dcterms:modified xsi:type="dcterms:W3CDTF">2024-07-05T19:18:00Z</dcterms:modified>
</cp:coreProperties>
</file>