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62F" w:rsidRDefault="006D762F">
      <w:pPr>
        <w:pStyle w:val="Textbody"/>
      </w:pPr>
      <w:bookmarkStart w:id="0" w:name="_GoBack"/>
      <w:bookmarkEnd w:id="0"/>
    </w:p>
    <w:p w:rsidR="006D762F" w:rsidRDefault="00E93073">
      <w:pPr>
        <w:pStyle w:val="Textbody"/>
        <w:spacing w:before="567" w:after="0"/>
        <w:ind w:left="680"/>
      </w:pPr>
      <w:r>
        <w:t>EM n</w:t>
      </w:r>
      <w:r>
        <w:rPr>
          <w:strike/>
        </w:rPr>
        <w:t>º</w:t>
      </w:r>
      <w:r>
        <w:t xml:space="preserve"> 00050/2024 MPO</w:t>
      </w:r>
    </w:p>
    <w:p w:rsidR="006D762F" w:rsidRDefault="00E93073">
      <w:pPr>
        <w:pStyle w:val="Textbody"/>
      </w:pPr>
      <w:r>
        <w:t> </w:t>
      </w:r>
    </w:p>
    <w:p w:rsidR="006D762F" w:rsidRDefault="00E93073">
      <w:pPr>
        <w:pStyle w:val="PreformattedText"/>
        <w:spacing w:after="170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Brasília, 5 de Julho de 2024</w:t>
      </w:r>
    </w:p>
    <w:p w:rsidR="006D762F" w:rsidRDefault="00E93073">
      <w:pPr>
        <w:pStyle w:val="Textbody"/>
        <w:spacing w:before="113" w:after="567"/>
        <w:ind w:firstLine="1134"/>
      </w:pPr>
      <w:r>
        <w:t>Senhor Presidente da República,</w:t>
      </w:r>
    </w:p>
    <w:p w:rsidR="006D762F" w:rsidRDefault="00E93073">
      <w:pPr>
        <w:pStyle w:val="Textbody"/>
        <w:spacing w:after="200"/>
        <w:jc w:val="both"/>
      </w:pPr>
      <w:r>
        <w:t>1.                Proponho a abertura de crédito especial ao Orçamento Fiscal da União (Lei nº 14.822, de 22 de janeiro de 2024), no valor de R$ 685.000,00 (seiscentos e oitenta e cinco mil reais), em favor do Tribunal de Contas da União, conforme Quadro anexo a esta Exposição de Motivos.</w:t>
      </w:r>
    </w:p>
    <w:p w:rsidR="006D762F" w:rsidRDefault="00E93073">
      <w:pPr>
        <w:pStyle w:val="Textbody"/>
        <w:spacing w:after="200"/>
        <w:jc w:val="both"/>
      </w:pPr>
      <w:r>
        <w:t>2.                O crédito em pauta visa incluir nova categoria de programação no orçamento vigente do mencionado órgão, com o objetivo de possibilitar o atendimento de despesas com benefícios referentes à Indenização de Representação no Exterior - IREX, e ao Auxílio-Familiar no Exterior a servidores do referido Tribunal que representarão o Brasil no Comitê de Operações de Auditoria do Conselho de Auditores da Organização das Nações Unidas - ONU, com domicílio em Nova York - NY.</w:t>
      </w:r>
    </w:p>
    <w:p w:rsidR="006D762F" w:rsidRDefault="00E93073">
      <w:pPr>
        <w:pStyle w:val="Textbody"/>
        <w:spacing w:after="200"/>
        <w:jc w:val="both"/>
      </w:pPr>
      <w:r>
        <w:t>3.                O pleito em referência será viabilizado mediante Projeto de Lei, à conta de anulação de dotação orçamentária, observado o disposto no art. 43, § 1º, inciso III, da Lei nº 4.320, de 17 de março de 1964, em conformidade com as prescrições do art. 167, inciso V, da Constituição.</w:t>
      </w:r>
    </w:p>
    <w:p w:rsidR="006D762F" w:rsidRDefault="00E93073">
      <w:pPr>
        <w:pStyle w:val="Textbody"/>
        <w:spacing w:after="200"/>
        <w:jc w:val="both"/>
      </w:pPr>
      <w:r>
        <w:t>4.                No que se refere à obtenção da meta de resultado primário fixada para o corrente exercício, bem como aos limites individualizados para as despesas primárias, conforme o art. 3º da Lei Complementar nº 200, de 30 de agosto de 2023, vale informar, nos termos do art. 54, § 4º, da Lei nº 14.791, de 29 de dezembro de 2023, Lei de Diretrizes Orçamentárias para 2024, LDO-2024, que o crédito em questão está de acordo com o teor dos citados dispositivos.</w:t>
      </w:r>
    </w:p>
    <w:p w:rsidR="006D762F" w:rsidRDefault="00E93073">
      <w:pPr>
        <w:pStyle w:val="Textbody"/>
        <w:spacing w:after="200"/>
        <w:jc w:val="both"/>
      </w:pPr>
      <w:r>
        <w:t>5.                Cabe mencionar, em relação ao disposto no art. 167, caput, inciso III, da Constituição Federal, "Regra de Ouro", que a alteração proposta não afeta o seu cumprimento.</w:t>
      </w:r>
    </w:p>
    <w:p w:rsidR="006D762F" w:rsidRDefault="00E93073">
      <w:pPr>
        <w:pStyle w:val="Textbody"/>
        <w:spacing w:after="200"/>
        <w:jc w:val="both"/>
      </w:pPr>
      <w:r>
        <w:t>6.                Em atendimento ao art. 54, § 18, da LDO-2024, vale destacar que não há valor cancelado neste crédito que ultrapasse vinte por cento do valor inicialmente estabelecido na Lei Orçamentária de 2024 para a referida categoria.</w:t>
      </w:r>
    </w:p>
    <w:p w:rsidR="006D762F" w:rsidRDefault="00E93073">
      <w:pPr>
        <w:pStyle w:val="Textbody"/>
        <w:spacing w:after="200"/>
        <w:jc w:val="both"/>
      </w:pPr>
      <w:r>
        <w:t>7.                Acrescenta-se que o ajuste do Plano Plurianual para o período de 2024 a 2027, de que trata a Lei nº 14.802, de 10 de janeiro de 2024, porventura necessário em decorrência da alteração promovida, deverá ser realizado de acordo com o art. 19, inciso I, da referida Lei.</w:t>
      </w:r>
    </w:p>
    <w:p w:rsidR="006D762F" w:rsidRDefault="00E93073">
      <w:pPr>
        <w:pStyle w:val="Textbody"/>
        <w:spacing w:after="200"/>
        <w:jc w:val="both"/>
      </w:pPr>
      <w:r>
        <w:t>8.                Ressalta-se, por oportuno, que a alteração em pauta decorre de solicitação formalizada por meio do Sistema Integrado de Planejamento e Orçamento – SIOP, e a programação objeto de cancelamento não sofrerá prejuízos na sua execução, pois o remanejamento foi decidido com base em projeções de suas possibilidades de dispêndio até o final do exercício atual.</w:t>
      </w:r>
    </w:p>
    <w:p w:rsidR="006D762F" w:rsidRDefault="00E93073">
      <w:pPr>
        <w:pStyle w:val="Textbody"/>
        <w:spacing w:after="200"/>
        <w:jc w:val="both"/>
      </w:pPr>
      <w:r>
        <w:t>9.                Diante do exposto, submeto à sua consideração o anexo Projeto de Lei, que visa efetivar a abertura de crédito especial.</w:t>
      </w:r>
    </w:p>
    <w:p w:rsidR="006D762F" w:rsidRDefault="00E93073">
      <w:pPr>
        <w:pStyle w:val="Textbody"/>
        <w:spacing w:after="1417"/>
        <w:ind w:firstLine="1134"/>
      </w:pPr>
      <w:r>
        <w:lastRenderedPageBreak/>
        <w:t>Respeitosamente,</w:t>
      </w:r>
    </w:p>
    <w:p w:rsidR="006D762F" w:rsidRDefault="006D762F">
      <w:pPr>
        <w:pStyle w:val="Textbody"/>
        <w:spacing w:after="0"/>
        <w:jc w:val="center"/>
      </w:pPr>
    </w:p>
    <w:p w:rsidR="006D762F" w:rsidRDefault="00E93073">
      <w:pPr>
        <w:pStyle w:val="Textbody"/>
      </w:pPr>
      <w:r>
        <w:t> </w:t>
      </w:r>
    </w:p>
    <w:p w:rsidR="006D762F" w:rsidRDefault="00E93073">
      <w:pPr>
        <w:pStyle w:val="Textbody"/>
      </w:pPr>
      <w:r>
        <w:t> </w:t>
      </w:r>
    </w:p>
    <w:p w:rsidR="006D762F" w:rsidRDefault="006D762F">
      <w:pPr>
        <w:pStyle w:val="Standard"/>
        <w:ind w:left="567" w:right="284"/>
        <w:rPr>
          <w:b/>
        </w:rPr>
      </w:pPr>
    </w:p>
    <w:p w:rsidR="006D762F" w:rsidRDefault="006D762F">
      <w:pPr>
        <w:pStyle w:val="Standard"/>
        <w:ind w:left="567" w:right="284"/>
        <w:rPr>
          <w:b/>
        </w:rPr>
      </w:pPr>
    </w:p>
    <w:p w:rsidR="006D762F" w:rsidRDefault="006D762F">
      <w:pPr>
        <w:pStyle w:val="Standard"/>
        <w:ind w:left="567" w:right="284"/>
        <w:rPr>
          <w:b/>
        </w:rPr>
      </w:pPr>
    </w:p>
    <w:p w:rsidR="006D762F" w:rsidRDefault="006D762F">
      <w:pPr>
        <w:pStyle w:val="Standard"/>
        <w:ind w:left="567" w:right="284"/>
        <w:rPr>
          <w:b/>
        </w:rPr>
      </w:pPr>
    </w:p>
    <w:p w:rsidR="006D762F" w:rsidRDefault="006D762F">
      <w:pPr>
        <w:pStyle w:val="Standard"/>
        <w:ind w:left="567" w:right="284"/>
        <w:rPr>
          <w:b/>
        </w:rPr>
      </w:pPr>
    </w:p>
    <w:p w:rsidR="006D762F" w:rsidRDefault="006D762F">
      <w:pPr>
        <w:pStyle w:val="Standard"/>
        <w:ind w:left="567" w:right="284"/>
        <w:rPr>
          <w:b/>
        </w:rPr>
      </w:pPr>
    </w:p>
    <w:p w:rsidR="006D762F" w:rsidRDefault="006D762F">
      <w:pPr>
        <w:pStyle w:val="Standard"/>
        <w:ind w:left="567" w:right="284"/>
        <w:rPr>
          <w:b/>
        </w:rPr>
      </w:pPr>
    </w:p>
    <w:p w:rsidR="006D762F" w:rsidRDefault="006D762F">
      <w:pPr>
        <w:pStyle w:val="Standard"/>
        <w:ind w:left="567" w:right="284"/>
        <w:rPr>
          <w:b/>
        </w:rPr>
      </w:pPr>
    </w:p>
    <w:p w:rsidR="006D762F" w:rsidRDefault="006D762F">
      <w:pPr>
        <w:pStyle w:val="Standard"/>
        <w:ind w:left="567" w:right="284"/>
        <w:rPr>
          <w:b/>
        </w:rPr>
      </w:pPr>
    </w:p>
    <w:p w:rsidR="006D762F" w:rsidRDefault="006D762F">
      <w:pPr>
        <w:pStyle w:val="Standard"/>
        <w:ind w:left="567" w:right="284"/>
        <w:rPr>
          <w:b/>
        </w:rPr>
      </w:pPr>
    </w:p>
    <w:p w:rsidR="006D762F" w:rsidRDefault="006D762F">
      <w:pPr>
        <w:pStyle w:val="Standard"/>
        <w:ind w:left="567" w:right="284"/>
        <w:rPr>
          <w:b/>
        </w:rPr>
      </w:pPr>
    </w:p>
    <w:p w:rsidR="006D762F" w:rsidRDefault="006D762F">
      <w:pPr>
        <w:pStyle w:val="Standard"/>
        <w:ind w:left="567" w:right="284"/>
        <w:rPr>
          <w:b/>
        </w:rPr>
      </w:pPr>
    </w:p>
    <w:p w:rsidR="006D762F" w:rsidRDefault="006D762F">
      <w:pPr>
        <w:pStyle w:val="Standard"/>
        <w:ind w:left="567" w:right="284"/>
        <w:rPr>
          <w:b/>
        </w:rPr>
      </w:pPr>
    </w:p>
    <w:p w:rsidR="006D762F" w:rsidRDefault="006D762F">
      <w:pPr>
        <w:pStyle w:val="Standard"/>
        <w:ind w:left="567" w:right="284"/>
        <w:rPr>
          <w:b/>
        </w:rPr>
      </w:pPr>
    </w:p>
    <w:p w:rsidR="006D762F" w:rsidRDefault="006D762F">
      <w:pPr>
        <w:pStyle w:val="Standard"/>
        <w:ind w:left="567" w:right="284"/>
        <w:rPr>
          <w:b/>
        </w:rPr>
      </w:pPr>
    </w:p>
    <w:p w:rsidR="006D762F" w:rsidRDefault="006D762F">
      <w:pPr>
        <w:pStyle w:val="Standard"/>
        <w:ind w:left="567" w:right="284"/>
        <w:rPr>
          <w:b/>
        </w:rPr>
      </w:pPr>
    </w:p>
    <w:p w:rsidR="006D762F" w:rsidRDefault="006D762F">
      <w:pPr>
        <w:pStyle w:val="Standard"/>
        <w:ind w:left="567" w:right="284"/>
        <w:rPr>
          <w:b/>
        </w:rPr>
      </w:pPr>
    </w:p>
    <w:p w:rsidR="006D762F" w:rsidRDefault="006D762F">
      <w:pPr>
        <w:pStyle w:val="Standard"/>
        <w:ind w:left="567" w:right="284"/>
        <w:rPr>
          <w:b/>
        </w:rPr>
      </w:pPr>
    </w:p>
    <w:p w:rsidR="006D762F" w:rsidRDefault="006D762F">
      <w:pPr>
        <w:pStyle w:val="Standard"/>
        <w:ind w:left="567" w:right="284"/>
        <w:rPr>
          <w:b/>
        </w:rPr>
      </w:pPr>
    </w:p>
    <w:p w:rsidR="006D762F" w:rsidRDefault="006D762F">
      <w:pPr>
        <w:pStyle w:val="Standard"/>
        <w:ind w:left="567" w:right="284"/>
        <w:rPr>
          <w:b/>
        </w:rPr>
      </w:pPr>
    </w:p>
    <w:p w:rsidR="006D762F" w:rsidRDefault="006D762F">
      <w:pPr>
        <w:pStyle w:val="Standard"/>
        <w:ind w:left="567" w:right="284"/>
        <w:rPr>
          <w:b/>
        </w:rPr>
      </w:pPr>
    </w:p>
    <w:p w:rsidR="006D762F" w:rsidRDefault="006D762F">
      <w:pPr>
        <w:pStyle w:val="Standard"/>
        <w:ind w:left="567" w:right="284"/>
        <w:rPr>
          <w:b/>
        </w:rPr>
      </w:pPr>
    </w:p>
    <w:p w:rsidR="006D762F" w:rsidRDefault="006D762F">
      <w:pPr>
        <w:pStyle w:val="Standard"/>
        <w:ind w:left="567" w:right="284"/>
        <w:rPr>
          <w:b/>
        </w:rPr>
      </w:pPr>
    </w:p>
    <w:p w:rsidR="006D762F" w:rsidRDefault="006D762F">
      <w:pPr>
        <w:pStyle w:val="Standard"/>
        <w:ind w:left="567" w:right="284"/>
        <w:rPr>
          <w:b/>
        </w:rPr>
      </w:pPr>
    </w:p>
    <w:p w:rsidR="006D762F" w:rsidRDefault="006D762F">
      <w:pPr>
        <w:pStyle w:val="Standard"/>
        <w:ind w:left="567" w:right="284"/>
        <w:rPr>
          <w:b/>
        </w:rPr>
      </w:pPr>
    </w:p>
    <w:p w:rsidR="006D762F" w:rsidRDefault="006D762F">
      <w:pPr>
        <w:pStyle w:val="Standard"/>
        <w:ind w:left="567" w:right="284"/>
        <w:rPr>
          <w:b/>
        </w:rPr>
      </w:pPr>
    </w:p>
    <w:p w:rsidR="006D762F" w:rsidRDefault="006D762F">
      <w:pPr>
        <w:pStyle w:val="Standard"/>
        <w:ind w:left="567" w:right="284"/>
        <w:rPr>
          <w:b/>
        </w:rPr>
      </w:pPr>
    </w:p>
    <w:p w:rsidR="006D762F" w:rsidRDefault="006D762F">
      <w:pPr>
        <w:pStyle w:val="Standard"/>
        <w:ind w:left="567" w:right="284"/>
        <w:rPr>
          <w:b/>
        </w:rPr>
      </w:pPr>
    </w:p>
    <w:p w:rsidR="006D762F" w:rsidRDefault="006D762F">
      <w:pPr>
        <w:pStyle w:val="Standard"/>
        <w:ind w:left="567" w:right="284"/>
        <w:rPr>
          <w:b/>
        </w:rPr>
      </w:pPr>
    </w:p>
    <w:p w:rsidR="006D762F" w:rsidRDefault="006D762F">
      <w:pPr>
        <w:pStyle w:val="Standard"/>
        <w:ind w:left="567" w:right="284"/>
        <w:rPr>
          <w:b/>
        </w:rPr>
      </w:pPr>
    </w:p>
    <w:p w:rsidR="006D762F" w:rsidRDefault="006D762F">
      <w:pPr>
        <w:pStyle w:val="Standard"/>
        <w:ind w:left="567" w:right="284"/>
        <w:rPr>
          <w:b/>
        </w:rPr>
      </w:pPr>
    </w:p>
    <w:p w:rsidR="006D762F" w:rsidRDefault="006D762F">
      <w:pPr>
        <w:pStyle w:val="Standard"/>
        <w:ind w:left="567" w:right="284"/>
        <w:rPr>
          <w:b/>
        </w:rPr>
      </w:pPr>
    </w:p>
    <w:p w:rsidR="006D762F" w:rsidRDefault="006D762F">
      <w:pPr>
        <w:pStyle w:val="Standard"/>
        <w:ind w:left="567" w:right="284"/>
        <w:rPr>
          <w:b/>
        </w:rPr>
      </w:pPr>
    </w:p>
    <w:p w:rsidR="006D762F" w:rsidRDefault="006D762F">
      <w:pPr>
        <w:pStyle w:val="Standard"/>
        <w:ind w:left="567" w:right="284"/>
        <w:rPr>
          <w:b/>
        </w:rPr>
      </w:pPr>
    </w:p>
    <w:p w:rsidR="006D762F" w:rsidRDefault="006D762F">
      <w:pPr>
        <w:pStyle w:val="Standard"/>
        <w:ind w:left="567" w:right="284"/>
        <w:rPr>
          <w:b/>
        </w:rPr>
      </w:pPr>
    </w:p>
    <w:p w:rsidR="006D762F" w:rsidRDefault="006D762F">
      <w:pPr>
        <w:pStyle w:val="Standard"/>
        <w:ind w:left="567" w:right="284"/>
        <w:rPr>
          <w:b/>
        </w:rPr>
      </w:pPr>
    </w:p>
    <w:p w:rsidR="006D762F" w:rsidRDefault="006D762F">
      <w:pPr>
        <w:pStyle w:val="Standard"/>
        <w:ind w:left="567" w:right="284"/>
        <w:rPr>
          <w:b/>
        </w:rPr>
      </w:pPr>
    </w:p>
    <w:p w:rsidR="006D762F" w:rsidRDefault="006D762F">
      <w:pPr>
        <w:pStyle w:val="Standard"/>
        <w:ind w:left="567" w:right="284"/>
        <w:rPr>
          <w:b/>
        </w:rPr>
      </w:pPr>
    </w:p>
    <w:p w:rsidR="006D762F" w:rsidRDefault="006D762F">
      <w:pPr>
        <w:pStyle w:val="Standard"/>
        <w:ind w:left="567" w:right="284"/>
        <w:rPr>
          <w:b/>
        </w:rPr>
      </w:pPr>
    </w:p>
    <w:p w:rsidR="006D762F" w:rsidRDefault="006D762F">
      <w:pPr>
        <w:pStyle w:val="Standard"/>
        <w:ind w:left="567" w:right="284"/>
        <w:rPr>
          <w:b/>
        </w:rPr>
      </w:pPr>
    </w:p>
    <w:p w:rsidR="00F40720" w:rsidRDefault="00E93073">
      <w:pPr>
        <w:pStyle w:val="Standard"/>
        <w:ind w:left="567" w:right="284"/>
        <w:rPr>
          <w:b/>
          <w:i/>
          <w:sz w:val="22"/>
        </w:rPr>
        <w:sectPr w:rsidR="00F40720">
          <w:pgSz w:w="11906" w:h="16838"/>
          <w:pgMar w:top="1134" w:right="1134" w:bottom="1134" w:left="1134" w:header="720" w:footer="720" w:gutter="0"/>
          <w:cols w:space="720"/>
        </w:sectPr>
      </w:pPr>
      <w:r>
        <w:rPr>
          <w:b/>
          <w:i/>
          <w:sz w:val="22"/>
        </w:rPr>
        <w:t>Assinado eletronicamente por: Simone Nassar Tebet</w:t>
      </w:r>
    </w:p>
    <w:p w:rsidR="00F40720" w:rsidRDefault="00F40720">
      <w:pPr>
        <w:ind w:right="-1"/>
        <w:jc w:val="center"/>
        <w:rPr>
          <w:rFonts w:ascii="Calibri" w:hAnsi="Calibri" w:cs="Calibri"/>
        </w:rPr>
      </w:pPr>
      <w:r>
        <w:rPr>
          <w:rFonts w:ascii="Calibri" w:hAnsi="Calibri" w:cs="font311"/>
          <w:spacing w:val="-3"/>
        </w:rPr>
        <w:t>QUADRO ANEXO À EXPOSIÇÃO DE MOTIVOS DO MINISTÉRIO DO PLANEJAMENTO E ORÇAMENTO N</w:t>
      </w:r>
      <w:r>
        <w:rPr>
          <w:rFonts w:ascii="Calibri" w:hAnsi="Calibri" w:cs="font311"/>
          <w:u w:val="single"/>
          <w:vertAlign w:val="superscript"/>
        </w:rPr>
        <w:t>o</w:t>
      </w:r>
      <w:r>
        <w:rPr>
          <w:rFonts w:ascii="Calibri" w:hAnsi="Calibri" w:cs="font311"/>
          <w:spacing w:val="-3"/>
        </w:rPr>
        <w:t xml:space="preserve"> 50, DE 05/07/202</w:t>
      </w:r>
      <w:r>
        <w:rPr>
          <w:rFonts w:ascii="Calibri" w:hAnsi="Calibri" w:cs="font311"/>
        </w:rPr>
        <w:t>4</w:t>
      </w:r>
    </w:p>
    <w:p w:rsidR="00F40720" w:rsidRDefault="00F40720">
      <w:pPr>
        <w:jc w:val="right"/>
        <w:rPr>
          <w:rFonts w:ascii="Calibri" w:hAnsi="Calibri" w:cs="Calibri"/>
        </w:rPr>
      </w:pPr>
    </w:p>
    <w:p w:rsidR="00F40720" w:rsidRDefault="00F40720">
      <w:pPr>
        <w:jc w:val="right"/>
        <w:rPr>
          <w:rFonts w:ascii="Calibri" w:hAnsi="Calibri" w:cs="Calibri"/>
        </w:rPr>
      </w:pPr>
    </w:p>
    <w:p w:rsidR="00F40720" w:rsidRDefault="00F40720">
      <w:pPr>
        <w:jc w:val="right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</w:rPr>
        <w:t xml:space="preserve">  R$ 1,00</w:t>
      </w:r>
    </w:p>
    <w:tbl>
      <w:tblPr>
        <w:tblW w:w="0" w:type="auto"/>
        <w:tblInd w:w="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1717"/>
        <w:gridCol w:w="1732"/>
      </w:tblGrid>
      <w:tr w:rsidR="00F40720">
        <w:trPr>
          <w:trHeight w:val="630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0720" w:rsidRDefault="00F40720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Discriminação</w:t>
            </w:r>
          </w:p>
        </w:tc>
        <w:tc>
          <w:tcPr>
            <w:tcW w:w="17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0720" w:rsidRDefault="00F40720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Aplicação</w:t>
            </w:r>
          </w:p>
        </w:tc>
        <w:tc>
          <w:tcPr>
            <w:tcW w:w="17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0720" w:rsidRDefault="00F40720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Origem dos Recursos</w:t>
            </w:r>
          </w:p>
        </w:tc>
      </w:tr>
      <w:tr w:rsidR="00F40720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F40720" w:rsidRDefault="00F40720">
            <w:r>
              <w:rPr>
                <w:rFonts w:ascii="Calibri" w:hAnsi="Calibri" w:cs="font311"/>
                <w:b/>
                <w:bCs/>
                <w:color w:val="000000"/>
              </w:rPr>
              <w:t>Tribunal de Contas da União</w:t>
            </w: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</w:tcPr>
          <w:p w:rsidR="00F40720" w:rsidRDefault="00F40720">
            <w:pPr>
              <w:jc w:val="right"/>
            </w:pPr>
            <w:r>
              <w:rPr>
                <w:rFonts w:ascii="Calibri" w:hAnsi="Calibri" w:cs="font311"/>
                <w:b/>
                <w:bCs/>
                <w:color w:val="000000"/>
              </w:rPr>
              <w:t>685.000</w:t>
            </w:r>
          </w:p>
        </w:tc>
        <w:tc>
          <w:tcPr>
            <w:tcW w:w="1732" w:type="dxa"/>
            <w:shd w:val="clear" w:color="auto" w:fill="FFFFFF"/>
          </w:tcPr>
          <w:p w:rsidR="00F40720" w:rsidRDefault="00F40720">
            <w:pPr>
              <w:jc w:val="right"/>
            </w:pPr>
            <w:r>
              <w:rPr>
                <w:rFonts w:ascii="Calibri" w:hAnsi="Calibri" w:cs="font311"/>
                <w:b/>
                <w:bCs/>
                <w:color w:val="000000"/>
              </w:rPr>
              <w:t>685.000</w:t>
            </w:r>
          </w:p>
        </w:tc>
      </w:tr>
      <w:tr w:rsidR="00F40720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F40720" w:rsidRDefault="00F40720">
            <w:r>
              <w:rPr>
                <w:rFonts w:ascii="Calibri" w:eastAsia="font311" w:hAnsi="Calibri" w:cs="font311"/>
                <w:lang w:eastAsia="en-US"/>
              </w:rPr>
              <w:t>Tribunal de Contas da União</w:t>
            </w: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</w:tcPr>
          <w:p w:rsidR="00F40720" w:rsidRDefault="00F40720">
            <w:pPr>
              <w:jc w:val="right"/>
            </w:pPr>
            <w:r>
              <w:rPr>
                <w:rFonts w:ascii="Calibri" w:hAnsi="Calibri" w:cs="Calibri"/>
              </w:rPr>
              <w:t>685.000</w:t>
            </w:r>
          </w:p>
        </w:tc>
        <w:tc>
          <w:tcPr>
            <w:tcW w:w="1732" w:type="dxa"/>
            <w:shd w:val="clear" w:color="auto" w:fill="FFFFFF"/>
          </w:tcPr>
          <w:p w:rsidR="00F40720" w:rsidRDefault="00F40720">
            <w:pPr>
              <w:jc w:val="right"/>
            </w:pPr>
            <w:r>
              <w:rPr>
                <w:rFonts w:ascii="Calibri" w:hAnsi="Calibri" w:cs="Calibri"/>
              </w:rPr>
              <w:t>685.000</w:t>
            </w:r>
          </w:p>
        </w:tc>
      </w:tr>
      <w:tr w:rsidR="00F40720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F40720" w:rsidRDefault="00F40720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</w:tcPr>
          <w:p w:rsidR="00F40720" w:rsidRDefault="00F40720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732" w:type="dxa"/>
            <w:shd w:val="clear" w:color="auto" w:fill="FFFFFF"/>
          </w:tcPr>
          <w:p w:rsidR="00F40720" w:rsidRDefault="00F40720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F40720">
        <w:trPr>
          <w:trHeight w:val="284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25" w:type="dxa"/>
            </w:tcMar>
            <w:vAlign w:val="center"/>
          </w:tcPr>
          <w:p w:rsidR="00F40720" w:rsidRDefault="00F40720">
            <w:r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  <w:tc>
          <w:tcPr>
            <w:tcW w:w="17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0720" w:rsidRDefault="00F40720">
            <w:pPr>
              <w:jc w:val="right"/>
            </w:pPr>
            <w:r>
              <w:rPr>
                <w:rFonts w:ascii="Calibri" w:hAnsi="Calibri" w:cs="font311"/>
                <w:b/>
                <w:bCs/>
                <w:color w:val="000000"/>
                <w:shd w:val="clear" w:color="auto" w:fill="F5F5F5"/>
              </w:rPr>
              <w:t>685.000</w:t>
            </w:r>
          </w:p>
        </w:tc>
        <w:tc>
          <w:tcPr>
            <w:tcW w:w="17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0720" w:rsidRDefault="00F40720">
            <w:pPr>
              <w:jc w:val="right"/>
            </w:pPr>
            <w:r>
              <w:rPr>
                <w:rFonts w:ascii="Calibri" w:hAnsi="Calibri" w:cs="font311"/>
                <w:b/>
                <w:bCs/>
                <w:color w:val="000000"/>
                <w:shd w:val="clear" w:color="auto" w:fill="F5F5F5"/>
              </w:rPr>
              <w:t>685.000</w:t>
            </w:r>
          </w:p>
        </w:tc>
      </w:tr>
    </w:tbl>
    <w:p w:rsidR="00F40720" w:rsidRDefault="00F40720">
      <w:pPr>
        <w:tabs>
          <w:tab w:val="left" w:pos="426"/>
        </w:tabs>
        <w:rPr>
          <w:rFonts w:ascii="Calibri" w:hAnsi="Calibri" w:cs="Calibri"/>
        </w:rPr>
      </w:pPr>
    </w:p>
    <w:p w:rsidR="006D762F" w:rsidRDefault="006D762F">
      <w:pPr>
        <w:pStyle w:val="Standard"/>
        <w:ind w:left="567" w:right="284"/>
        <w:rPr>
          <w:b/>
          <w:i/>
          <w:sz w:val="22"/>
        </w:rPr>
      </w:pPr>
    </w:p>
    <w:sectPr w:rsidR="006D762F" w:rsidSect="00724E3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A30" w:rsidRDefault="00E93073">
      <w:r>
        <w:separator/>
      </w:r>
    </w:p>
  </w:endnote>
  <w:endnote w:type="continuationSeparator" w:id="0">
    <w:p w:rsidR="006F6A30" w:rsidRDefault="00E9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horndale"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11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A30" w:rsidRDefault="00E93073">
      <w:r>
        <w:rPr>
          <w:color w:val="000000"/>
        </w:rPr>
        <w:separator/>
      </w:r>
    </w:p>
  </w:footnote>
  <w:footnote w:type="continuationSeparator" w:id="0">
    <w:p w:rsidR="006F6A30" w:rsidRDefault="00E93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2F"/>
    <w:rsid w:val="006D762F"/>
    <w:rsid w:val="006F6A30"/>
    <w:rsid w:val="00E93073"/>
    <w:rsid w:val="00F35CB6"/>
    <w:rsid w:val="00F4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1118B-8187-4B5E-BD8F-2B4AA0F1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Heading"/>
    <w:next w:val="Textbody"/>
    <w:pPr>
      <w:outlineLvl w:val="0"/>
    </w:pPr>
    <w:rPr>
      <w:rFonts w:ascii="Thorndale" w:eastAsia="HG Mincho Light J" w:hAnsi="Thorndale" w:cs="Arial Unicode MS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pacing w:after="283"/>
    </w:pPr>
    <w:rPr>
      <w:sz w:val="12"/>
    </w:rPr>
  </w:style>
  <w:style w:type="paragraph" w:customStyle="1" w:styleId="Sender">
    <w:name w:val="Sender"/>
    <w:basedOn w:val="Standard"/>
    <w:rPr>
      <w:i/>
    </w:rPr>
  </w:style>
  <w:style w:type="paragraph" w:customStyle="1" w:styleId="TableContents">
    <w:name w:val="Table Contents"/>
    <w:basedOn w:val="Textbody"/>
  </w:style>
  <w:style w:type="paragraph" w:styleId="Rodap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Cabealho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504</Words>
  <Characters>2727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Milton Guilhon Rosa</cp:lastModifiedBy>
  <cp:revision>2</cp:revision>
  <cp:lastPrinted>2024-07-09T21:38:00Z</cp:lastPrinted>
  <dcterms:created xsi:type="dcterms:W3CDTF">2024-07-16T00:42:00Z</dcterms:created>
  <dcterms:modified xsi:type="dcterms:W3CDTF">2024-07-16T00:42:00Z</dcterms:modified>
</cp:coreProperties>
</file>