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F0" w:rsidRPr="009504A4" w:rsidRDefault="005541F0">
      <w:pPr>
        <w:pStyle w:val="Textbody"/>
        <w:rPr>
          <w:rFonts w:ascii="Arial" w:hAnsi="Arial" w:cs="Arial"/>
          <w:b/>
          <w:sz w:val="20"/>
          <w:szCs w:val="20"/>
        </w:rPr>
      </w:pPr>
      <w:bookmarkStart w:id="0" w:name="_GoBack"/>
    </w:p>
    <w:p w:rsidR="005541F0" w:rsidRPr="009504A4" w:rsidRDefault="004E11A4">
      <w:pPr>
        <w:pStyle w:val="Textbody"/>
        <w:spacing w:before="567" w:after="0"/>
        <w:ind w:left="680"/>
        <w:rPr>
          <w:rFonts w:ascii="Arial" w:hAnsi="Arial" w:cs="Arial"/>
          <w:sz w:val="20"/>
          <w:szCs w:val="20"/>
        </w:rPr>
      </w:pPr>
      <w:r w:rsidRPr="009504A4">
        <w:rPr>
          <w:rFonts w:ascii="Arial" w:hAnsi="Arial" w:cs="Arial"/>
          <w:sz w:val="20"/>
          <w:szCs w:val="20"/>
        </w:rPr>
        <w:t>EM n</w:t>
      </w:r>
      <w:r w:rsidRPr="009504A4">
        <w:rPr>
          <w:rFonts w:ascii="Arial" w:hAnsi="Arial" w:cs="Arial"/>
          <w:strike/>
          <w:sz w:val="20"/>
          <w:szCs w:val="20"/>
        </w:rPr>
        <w:t>º</w:t>
      </w:r>
      <w:r w:rsidRPr="009504A4">
        <w:rPr>
          <w:rFonts w:ascii="Arial" w:hAnsi="Arial" w:cs="Arial"/>
          <w:sz w:val="20"/>
          <w:szCs w:val="20"/>
        </w:rPr>
        <w:t xml:space="preserve"> 00075/2023 MPO</w:t>
      </w:r>
    </w:p>
    <w:p w:rsidR="005541F0" w:rsidRPr="009504A4" w:rsidRDefault="004E11A4">
      <w:pPr>
        <w:pStyle w:val="Textbody"/>
        <w:rPr>
          <w:rFonts w:ascii="Arial" w:hAnsi="Arial" w:cs="Arial"/>
          <w:sz w:val="20"/>
          <w:szCs w:val="20"/>
        </w:rPr>
      </w:pPr>
      <w:r w:rsidRPr="009504A4">
        <w:rPr>
          <w:rFonts w:ascii="Arial" w:hAnsi="Arial" w:cs="Arial"/>
          <w:sz w:val="20"/>
          <w:szCs w:val="20"/>
        </w:rPr>
        <w:t> </w:t>
      </w:r>
    </w:p>
    <w:p w:rsidR="005541F0" w:rsidRPr="009504A4" w:rsidRDefault="004E11A4">
      <w:pPr>
        <w:pStyle w:val="PreformattedText"/>
        <w:spacing w:after="1701"/>
        <w:jc w:val="right"/>
        <w:rPr>
          <w:rFonts w:ascii="Arial" w:hAnsi="Arial" w:cs="Arial"/>
        </w:rPr>
      </w:pPr>
      <w:r w:rsidRPr="009504A4">
        <w:rPr>
          <w:rFonts w:ascii="Arial" w:hAnsi="Arial" w:cs="Arial"/>
        </w:rPr>
        <w:t>Brasília, 10 de Outubro de 2023</w:t>
      </w:r>
    </w:p>
    <w:p w:rsidR="005541F0" w:rsidRPr="009504A4" w:rsidRDefault="004E11A4">
      <w:pPr>
        <w:pStyle w:val="Textbody"/>
        <w:spacing w:before="113" w:after="567"/>
        <w:ind w:firstLine="1134"/>
        <w:rPr>
          <w:rFonts w:ascii="Arial" w:hAnsi="Arial" w:cs="Arial"/>
          <w:sz w:val="20"/>
          <w:szCs w:val="20"/>
        </w:rPr>
      </w:pPr>
      <w:r w:rsidRPr="009504A4">
        <w:rPr>
          <w:rFonts w:ascii="Arial" w:hAnsi="Arial" w:cs="Arial"/>
          <w:sz w:val="20"/>
          <w:szCs w:val="20"/>
        </w:rPr>
        <w:t>Senhor Presidente da República,</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1.                Proponho a abertura de crédito suplementar aos Orçamentos Fiscal e da Seguridade Social da União (Lei nº 14.535, de 17 de janeiro de 2023), no valor de R$ 784.013.628,00 (setecentos e oitenta e quatro milhões, treze mil, seiscentos e vinte e oito reais), em favor de diversos Órgãos do Poder Executivo, conforme Quadro anexo a esta Exposição de Motivos.</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2.                O crédito em pauta tem por objetivo viabilizar no(a):</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a) Presidência da República, a realização de despesas com a integralização de cotas e o atendimento de entes públicos selecionados em processo de chamamento público realizado pelo Fundo de Apoio à Estruturação e ao Desenvolvimento de Projetos de Concessões e Parcerias Público-Privadas da União, dos Estados, do Distrito Federal e dos Municípios, coordenados pela Secretaria Especial para o Programa de Parcerias de Investimentos;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b) Ministério da Educação;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no Fundo Nacional de Desenvolvimento da Educação, a execução do Programa de Apoio à Manutenção da Educação Infantil – novos estabelecimentos (Proinfância) e novas turmas (Brasil Carinhoso), o qual consiste na transferência de recursos financeiros aos Municípios e ao Distrito Federal, com o objetivo de garantir a expansão da oferta e o regular funcionamento das novas matrículas, seja em novos estabelecimentos ou em novas turmas de educação infantil, até que estas sejam computadas no Censo Escolar para recebimento de recursos do Fundo de Manutenção e Desenvolvimento da Educação Básica e de Valorização dos Profissionais da Educação (Fundeb). Assim será possível atender 1.508 matrículas, ao valor médio unitário de R$ 4.974,84, para novos estabelecimentos, e 8.414 matrículas, ao valor médio unitário de R$ 5.051,12, em novas turmas;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xml:space="preserve">- na Empresa Brasileira de Serviços Hospitalares – EBSERH, o funcionamento dos hospitais universitários federais da Rede, contribuindo para a prestação de serviços essenciais de assistência à saúde da população e formação de profissionais de saúde no âmbito do Sistema Único de Saúde - SUS, além do </w:t>
      </w:r>
      <w:r w:rsidRPr="009504A4">
        <w:rPr>
          <w:rFonts w:ascii="Arial" w:hAnsi="Arial" w:cs="Arial"/>
          <w:sz w:val="20"/>
          <w:szCs w:val="20"/>
        </w:rPr>
        <w:lastRenderedPageBreak/>
        <w:t>pagamento dos contratos continuados e aquisições de materiais de consumo em 2023;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nas Universidades e nos Institutos/Centros Federais, a realização de capacitação na área de internacionalização e iniciativas de redução da evasão escolar; a manutenção administrativa, o pagamento dos contratos de serviços terceirizados e de concessionárias públicas de água e energia, a contratação de pessoas jurídicas, despesas com diárias e passagens, a aquisição de material permanente e de tecnologia da informação - TI, a concessão de bolsas de estudos, a realização de concurso público, a manutenção predial, a continuidade de pequenas obras, reformas e adaptação física, e o atendimento dos reajustes contratuais de obras em andamento, a aquisição de veículos, de materiais pedagógicos para estruturação dos laboratórios de pesquisa, a aquisição de “notebooks”, de painéis fotovoltaicos para geração de energia elétrica, de livros, material de expediente e de mobiliários para salas de aula e bibliotecas, a alimentação nos restaurantes universitários, e a capacitação e treinamento de servidores, dentre outros;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c) Ministério da Justiça e Segurança Pública, o apoio às mães, Mulheres da Paz, Cursinhos Populares, Núcleo de Prática Jurídica, Projeto Mercúrio, Justiça Comunitária e Mediação de Conflitos Socioambientais e Fundiários; a promoção de direitos para as pessoas em situação de vulnerabilidade social; e a efetividade das políticas públicas de acesso à justiça no país, com o financiamento de quinze Organizações da Sociedade Civil que atuam junto a mulheres em contexto de uso de drogas ou que são afetadas pelo tráfico; a expansão do programa juventude “Tô de Boa” para cinco territórios, com o objetivo de alcançar 500 jovens com a oferta de atividades no contraturno escolar e pagamento de bolsas; as ações de territorialização da política antidrogas, com a presença de articuladores locais nas 27 unidades federativas; e o financiamento de 10 projetos para instituições de ensino superior de todo o território nacional, relacionados a políticas públicas sobre drogas;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d) Ministério de Minas e Energia, o pagamento de despesas com o condomínio do escritório central da Agência Nacional do Petróleo, Gás Natural e Biocombustíveis – ANP; e o auxílio-moradia para os novos colaboradores indicados na nova gestão da Empresa de Pesquisa Energética – EPE;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e) Ministério dos Transportes, o pagamento de auxílio-moradia a agentes públicos, na Administração Direta; a continuidade dos contratos de operação e manutenção de Instalações Portuárias Públicas de Pequeno Porte - IP4, e a contratação dos serviços de sinalização e Plano de Monitoramento Hidroviário - PMH para as hidrovias, no Departamento Nacional de Infraestrutura de Transportes – DNIT; e a contratação de cursos de capacitação para integrantes do Sistema Nacional de Trânsito - SNT e realização de campanhas e eventos - SENATRAN, no Fundo Nacional de Segurança e Educação do Trânsito – FUNSET;</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xml:space="preserve">                    f) Ministério do Trabalho e Emprego, a modernização dos ensaios de equipamentos de proteção respiratória e de adução de ar realizados nos laboratórios da Fundação Jorge Duprat Figueiredo de Segurança e Medicina do </w:t>
      </w:r>
      <w:r w:rsidRPr="009504A4">
        <w:rPr>
          <w:rFonts w:ascii="Arial" w:hAnsi="Arial" w:cs="Arial"/>
          <w:sz w:val="20"/>
          <w:szCs w:val="20"/>
        </w:rPr>
        <w:lastRenderedPageBreak/>
        <w:t>Trabalho – Fundacentro;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g) Ministério das Comunicações, o andamento a projetos voltados ao desenvolvimento tecnológico na área de telecomunicação, por meio de contrato de gestão, na Administração Direta;</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h) Ministério da Cultura, a cobertura de despesas contratuais de natureza continuada como limpeza, vigilância e manutenção predial, evitando a interrupção de serviços essenciais ao funcionamento das unidades museológicas, no Instituto Brasileiro de Museus;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i) Ministério do Meio Ambiente e Mudança do Clima, a realização de investimentos para a modernização do parque tecnológico daquela Unidade, e demais despesas com tecnologia da informação (“outsourcing” de impressão, métricas de “software”, “link” de internet, licenças de “software”, antivírus, segurança em nuvem, Office 365, manutenção de servidores e manutenção de “firewall”), no Serviço Florestal Brasileiro – SFB;</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j) Ministério da Defesa, as despesas financeiras relativas à amortização e encargos de financiamento da dívida contratual interna, da Caixa de Construções de Casas para o Pessoal da Marinha – CCCPM; o custeio de despesas relativas à aquisição de combustíveis e lubrificantes, bem como o cumprimento do cronograma de manutenção e do funcionamento dos meios operativos, o pagamento de marcos contratuais relacionados a esses serviços e a obtenção de materiais necessários a esse fim, visando a manter a capacidade operativa dos meios navais, aeronavais e de Fuzileiros Navais, assim como de suas tripulações, no Fundo Naval;</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k) Ministério da Integração e do Desenvolvimento Regional, o apoio aos polos de agricultura irrigada, e operação e manutenção de projetos públicos de irrigação de interesse social, além de projetos de desenvolvimento sustentável local integrado, no âmbito da Companhia de Desenvolvimento dos Vales do São Francisco e do Parnaíba – CODEVASF; e a modernização da estrutura física da Superintendência do Desenvolvimento da Amazônia – SUDAM;</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l) Ministério do Turismo, o atendimento de despesas com promoção e marketing do turismo no mercado nacional, relacionadas à contratação de empresa que possibilita a participação do Órgão em eventos, por meio de cotas de patrocínio (8º FRONTEIRA - Festival de Enogastronomia, nas cidades de Santana do Livramento (BR) e Rivera (UY); e 50ª ABAV EXPO, no Rio Centro, na cidade do Rio de Janeiro – RJ;</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m) Ministério do Desenvolvimento e Assistência Social, Família e Combate à Fome, a remuneração dos agentes responsáveis pelas visitas domiciliares e a integração das políticas de atenção à primeira infância dos entes federados; a realização da 13ª Conferência Nacional de Assistência Social (dezembro/2023); os gastos administrativos do Sistema Único de Assistência Social – SUAS; a implementação do Programa de Aquisição de Alimentos junto a comunidades indígenas; e a prestação de serviços técnicos presenciais de garantia da qualidade de Tecnologia da Informação;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lastRenderedPageBreak/>
        <w:t>                    n) Ministério da Pesca e Aquicultura, a manutenção administrativa da Sede do Ministério, suas 27 (vinte e sete) Superintendências e dos 7 (sete) Terminais Pesqueiros Públicos, bem como a subvenção econômica ao preço do óleo diesel de embarcações pesqueiras (Lei nº 9.445, de 1997);</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o) Advocacia-Geral da União, o atendimento de despesas administrativas diversas, tais como locação de imóveis, veículos, serviços de terceiros e mão de obra, energia elétrica e manutenção;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p) Ministério da Igualdade Racial, a implementação efetiva da política de titulação de territórios quilombolas, com a celebração de Termo de Execução Descentralizada com o Instituto Nacional de Colonização e Reforma Agrária - INCRA, no intuito de viabilizar a indenização de imóveis localizados em territórios quilombolas declarados de interesse social;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q) Ministério de Portos e Aeroportos, o atendimento de despesas de administração na Agência Nacional de Aviação Civil; e o pagamento da indenização devida à atual Concessionária do Aeroporto de São Gonçalo do Amarante S.A.(Inframérica), no âmbito do Fundo Nacional de Aviação Civil – FNAC.</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3.                O pleito em referência será viabilizado mediante Projeto de Lei, à conta da incorporação de excesso de arrecadação, de superávit financeiro apurado no balanço patrimonial do exercício de 2022, e de anulação de dotações orçamentárias, observado o disposto no art. 43, § 1º, incisos I, II e III, da Lei nº 4.320, de 17 de março de 1964, em conformidade com as prescrições do art. 167, inciso V, da Constituição.</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4.                Em relação ao que dispõe o art. 52, § 4º, da Lei nº 14.436, de 9 de agosto de 2022, Lei de Diretrizes Orçamentárias para 2023 - LDO-2023, cumpre informar que as alterações propostas no presente ato não afetam a obtenção da meta de resultado primário fixada para o corrente exercício, uma vez que: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a) R$ 20.700.000,00 (vinte milhões e setecentos mil reais) se referem à suplementação de despesas financeiras à conta da incorporação de superávit financeiro apurado no balanço patrimonial do exercício de 2022, relativo à fonte 050 – “Recursos Próprios Livres da UO”, não contabilizados no cálculo da referida meta;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b) R$ 763.313.628,00 (setecentos e sessenta e três milhões, trezentos e treze mil, seiscentos e vinte e oito reais) à suplementação de despesas primárias discricionárias, dos quais: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b.1) R$ 94.306.030,00 (noventa e quatro milhões, trezentos e seis mil e trinta reais) com a incorporação de excesso de arrecadação, sendo: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b.1.1) R$ 71.599.451,00 (setenta e um milhões, quinhentos e noventa e nove mil, quatrocentos e cinquenta e um reais) da fonte 049 – “Recursos Próprios da UO para Aplicação em Seguridade Social”;</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lastRenderedPageBreak/>
        <w:t>b.1.2) R$ 21.480.575,00 (vinte e um milhões, quatrocentos e oitenta mil, quinhentos e setenta e cinco reais) da fonte 050 – “Recursos Próprios Livres da UO”;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b.1.3) R$ 926.004,00 (novecentos e vinte e seis mil e quatro reais), da fonte 051 – “Recursos Próprios da UO para Aplicação Exclusiva em Despesas de Capital”;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b.1.4) R$ 300.000,00 (trezentos mil reais) da fonte 081 – “Convênios”;</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b.2) R$ 31.034.042,00 (trinta e um milhões, trinta e quatro mil, quarenta e dois reais), com a incorporação de superávit financeiro apurado no balanço patrimonial do exercício de 2022, sendo: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b.2.1) R$ 29.933.762,00 (vinte e nove milhões, novecentos e trinta e três mil, setecentos e sessenta e dois reais) da fonte 050;</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b.2.2) 574.486,00 (quinhentos e setenta e quatro mil, quatrocentos e oitenta e seis reais) da fonte 051;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b.2.3) R$ 525.794,00 (quinhentos e vinte e cinco mil, setecentos e noventa e quatro reais) da fonte 081;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b.3) R$ 637.973.556,00 (seiscentos e trinta e sete milhões, novecentos e setenta e três mil, quinhentos e cinquenta e seis reais) se referem a remanejamento entre despesas primárias discricionárias, não modificando seu montante;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c) em relação aos itens “b.1” e “b.2”, vale esclarecer que as alterações decorrentes da abertura do presente crédito afetariam negativamente a obtenção da meta de resultado primário fixada para o corrente exercício, constante da LDO-2023, porém o Relatório de Avaliação de Receitas e Despesas Primárias do 4º bimestre, encaminhado ao Congresso Nacional por meio da Mensagem Presidencial nº 493, de 22 de setembro de 2023, indica um espaço de R$ 74,9 bilhões na meta de resultado primário, possibilitando a absorção de tais despesas, conforme item 14, da página 9, do mencionado Relatório, abaixo transcrito:</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14.              Contabilizadas todas as variações acima descritas, as projeções de receitas e despesas primárias para o corrente ano, presentes neste Relatório, considerando a meta de resultado primário e as deduções acima descritas, no valor de R$ 150.517,2 milhões, indicam espaço fiscal frente à meta de primário no valor de R$ 74.979,7 milhões.</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 xml:space="preserve">5.                No que tange aos limites individualizados para as despesas primárias e demais operações que afetam o resultado primário, vale mencionar que o crédito em questão está compatível com o § 1º do art. 12 da Lei Complementar nº 200, de 30 de agosto de 2023.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 Adicionalmente, cumpre salientar que, do total do </w:t>
      </w:r>
      <w:r w:rsidRPr="009504A4">
        <w:rPr>
          <w:rFonts w:ascii="Arial" w:hAnsi="Arial" w:cs="Arial"/>
          <w:sz w:val="20"/>
          <w:szCs w:val="20"/>
        </w:rPr>
        <w:lastRenderedPageBreak/>
        <w:t>pleito: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a) R$ 20.700.000,00 (vinte milhões e setecentos mil reais) se referem à suplementação de despesas financeiras não incluídas na base de cálculo dos referidos limites;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b) R$ 125.340.072,00 (cento e vinte e cinco milhões, trezentos e quarenta mil, setenta e dois reais) dizem respeito à suplementação de despesas primárias discricionárias com fontes de recursos excetuadas do regime fiscal sustentável, conforme inciso IV do § 2º do art. 3º da mencionada Lei Complementar.</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6.                Quanto ao disposto no inciso III do caput do art. 167 da Constituição Federal, "Regra de Ouro", informa-se que a alteração proposta reduz gastos com investimentos (Gnd 4) sem a correspondente redução da estimativa de receitas com operações de crédito, afetando negativamente o cumprimento da regra. Contudo, vale esclarecer que não restam mais receitas e despesas condicionadas na LOA-2023, o que afasta a aplicação do disposto no § 1º do art. 62 da LDO-2023, devendo-se observar o disposto no § 2º do referido artigo, o qual dispõe que, após a redução do total de despesas condicionadas na forma prevista no § 3º do art. 23 da LDO-2023, eventual diferença entre as receitas de operações de crédito e as despesas de capital deverá ser adequada até o encerramento do exercício.</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7.                Cabe informar que, em conformidade com o § 2º do art. 50 da LDO-2023, está sendo feita concomitantemente, no ato em pauta, troca de fontes de recursos, a saber:</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a) a redução de R$ 24.144.243,00 (vinte e quatro milhões, cento e quarenta e quatro mil, duzentos e quarenta e três reais) da fonte 050 – “Recursos Próprios Livres da UO”, e a utilização do superávit financeiro da fonte 008 – “Educação Pública, com Prioridade para a Educação Básica”, no âmbito do Ministério da Educação;</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b) a redução de R$ 134.900.000,00 (cento e trinta e quatro milhões e novecentos mil reais) da fonte 444 – “Demais Aplicações Autorizadas para Recursos Oriundos de Títulos do Tesouro Nacional, Excetuado o Refinanciamento da Dívida Pública”, dos Ministérios da Educação e dos Transportes, e a utilização da fonte 052 – “Recursos Livres da UO”, nesse mesmo valor, no Ministério de Portos e Aeroportos; e</w:t>
      </w:r>
    </w:p>
    <w:p w:rsidR="005541F0" w:rsidRPr="009504A4" w:rsidRDefault="004E11A4">
      <w:pPr>
        <w:pStyle w:val="Textbody"/>
        <w:spacing w:after="200"/>
        <w:ind w:firstLine="1134"/>
        <w:jc w:val="both"/>
        <w:rPr>
          <w:rFonts w:ascii="Arial" w:hAnsi="Arial" w:cs="Arial"/>
          <w:sz w:val="20"/>
          <w:szCs w:val="20"/>
        </w:rPr>
      </w:pPr>
      <w:r w:rsidRPr="009504A4">
        <w:rPr>
          <w:rFonts w:ascii="Arial" w:hAnsi="Arial" w:cs="Arial"/>
          <w:sz w:val="20"/>
          <w:szCs w:val="20"/>
        </w:rPr>
        <w:t>                    c) a redução das fontes 009 – “Fiscalização de Segurança do Tráfego Aquaviário”, em R$ 386.126,00 (trezentos e oitenta e seis mil, cento e vinte e seis reais), 050 – “Recursos Próprios Livres da UO”, em R$ 1.955.529,00 (um milhão, novecentos e cinquenta e cinco mil, quinhentos e vinte e nove reais), 052 – “Recursos Livres da UO”, em R$ 107.835,00 (cento e sete mil, oitocentos e trinta e cinco reais), e 077 – “Fiscalização e Proteção das Áreas de Produção de Petróleo”, em R$ 1.570.758,00 (um milhão, quinhentos e setenta mil, setecentos e cinquenta e oito reais); e utilização de superávit financeiro da fonte 050, no valor de R$ 4.022.248,00 (quatro milhões, vinte e dois mil, duzentos e quarenta e oito reais), no âmbito do Ministério da Defesa.</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lastRenderedPageBreak/>
        <w:t>8.                No que tange aos §§ 15 e 18 do art. 52 da LDO-2023, seguem, em anexo, os demonstrativos de desvios de valores cancelados que ultrapassam vinte por cento da respectiva dotação de cada ação, e de excesso de arrecadação e de superávit financeiro utilizados no presente crédito, inclusive na troca de fontes concomitante.</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9.                Ressalte-se, por oportuno, que as alterações em comento decorrem de solicitações formalizadas por meio do Sistema Integrado de Planejamento e Orçamento – SIOP e, de acordo com os órgãos envolvidos no presente ato, as programações objeto de cancelamento não sofrerão prejuízo na sua execução, uma vez que os remanejamentos foram decididos com base em projeções de suas possibilidades de dispêndio até o final do exercício atual.</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10.              Cumpre alertar que o prazo final para o encaminhamento do citado Projeto de Lei ao Congresso Nacional é 15 de outubro de 2023, de acordo com o § 2º do art. 52 da Lei nº 14.436, de 9 de agosto de 2022, Lei de Diretrizes Orçamentárias para 2023, LDO-2023.</w:t>
      </w:r>
    </w:p>
    <w:p w:rsidR="005541F0" w:rsidRPr="009504A4" w:rsidRDefault="004E11A4">
      <w:pPr>
        <w:pStyle w:val="Textbody"/>
        <w:spacing w:after="200"/>
        <w:jc w:val="both"/>
        <w:rPr>
          <w:rFonts w:ascii="Arial" w:hAnsi="Arial" w:cs="Arial"/>
          <w:sz w:val="20"/>
          <w:szCs w:val="20"/>
        </w:rPr>
      </w:pPr>
      <w:r w:rsidRPr="009504A4">
        <w:rPr>
          <w:rFonts w:ascii="Arial" w:hAnsi="Arial" w:cs="Arial"/>
          <w:sz w:val="20"/>
          <w:szCs w:val="20"/>
        </w:rPr>
        <w:t>11.              Diante do exposto, submeto à sua consideração o anexo Projeto de Lei, que visa efetivar a abertura de crédito suplementar.</w:t>
      </w:r>
    </w:p>
    <w:p w:rsidR="005541F0" w:rsidRPr="009504A4" w:rsidRDefault="004E11A4">
      <w:pPr>
        <w:pStyle w:val="Textbody"/>
        <w:spacing w:after="1417"/>
        <w:ind w:firstLine="1134"/>
        <w:rPr>
          <w:rFonts w:ascii="Arial" w:hAnsi="Arial" w:cs="Arial"/>
          <w:sz w:val="20"/>
          <w:szCs w:val="20"/>
        </w:rPr>
      </w:pPr>
      <w:r w:rsidRPr="009504A4">
        <w:rPr>
          <w:rFonts w:ascii="Arial" w:hAnsi="Arial" w:cs="Arial"/>
          <w:sz w:val="20"/>
          <w:szCs w:val="20"/>
        </w:rPr>
        <w:t>Respeitosamente,</w:t>
      </w:r>
    </w:p>
    <w:p w:rsidR="005541F0" w:rsidRPr="009504A4" w:rsidRDefault="005541F0">
      <w:pPr>
        <w:pStyle w:val="Textbody"/>
        <w:spacing w:after="0"/>
        <w:jc w:val="center"/>
        <w:rPr>
          <w:rFonts w:ascii="Arial" w:hAnsi="Arial" w:cs="Arial"/>
          <w:sz w:val="20"/>
          <w:szCs w:val="20"/>
        </w:rPr>
      </w:pPr>
    </w:p>
    <w:p w:rsidR="005541F0" w:rsidRPr="009504A4" w:rsidRDefault="004E11A4">
      <w:pPr>
        <w:pStyle w:val="Textbody"/>
        <w:rPr>
          <w:rFonts w:ascii="Arial" w:hAnsi="Arial" w:cs="Arial"/>
          <w:sz w:val="20"/>
          <w:szCs w:val="20"/>
        </w:rPr>
      </w:pPr>
      <w:r w:rsidRPr="009504A4">
        <w:rPr>
          <w:rFonts w:ascii="Arial" w:hAnsi="Arial" w:cs="Arial"/>
          <w:sz w:val="20"/>
          <w:szCs w:val="20"/>
        </w:rPr>
        <w:t> </w:t>
      </w:r>
    </w:p>
    <w:p w:rsidR="005541F0" w:rsidRPr="009504A4" w:rsidRDefault="004E11A4">
      <w:pPr>
        <w:pStyle w:val="Textbody"/>
        <w:rPr>
          <w:rFonts w:ascii="Arial" w:hAnsi="Arial" w:cs="Arial"/>
          <w:sz w:val="20"/>
          <w:szCs w:val="20"/>
        </w:rPr>
      </w:pPr>
      <w:r w:rsidRPr="009504A4">
        <w:rPr>
          <w:rFonts w:ascii="Arial" w:hAnsi="Arial" w:cs="Arial"/>
          <w:sz w:val="20"/>
          <w:szCs w:val="20"/>
        </w:rPr>
        <w:t> </w:t>
      </w: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5541F0" w:rsidRPr="009504A4" w:rsidRDefault="005541F0">
      <w:pPr>
        <w:pStyle w:val="Standard"/>
        <w:ind w:left="567" w:right="284"/>
        <w:rPr>
          <w:rFonts w:ascii="Arial" w:hAnsi="Arial" w:cs="Arial"/>
          <w:b/>
          <w:sz w:val="20"/>
          <w:szCs w:val="20"/>
        </w:rPr>
      </w:pPr>
    </w:p>
    <w:p w:rsidR="004E11A4" w:rsidRPr="009504A4" w:rsidRDefault="004E11A4" w:rsidP="004E11A4">
      <w:pPr>
        <w:pStyle w:val="xl48"/>
        <w:spacing w:before="0" w:after="0"/>
        <w:jc w:val="left"/>
        <w:rPr>
          <w:rFonts w:ascii="Arial" w:eastAsia="Times New Roman" w:hAnsi="Arial" w:cs="Arial"/>
          <w:b/>
          <w:bCs/>
          <w:sz w:val="20"/>
          <w:szCs w:val="20"/>
        </w:rPr>
      </w:pPr>
      <w:r w:rsidRPr="009504A4">
        <w:rPr>
          <w:rFonts w:ascii="Arial" w:hAnsi="Arial" w:cs="Arial"/>
          <w:b/>
          <w:i/>
          <w:sz w:val="20"/>
          <w:szCs w:val="20"/>
        </w:rPr>
        <w:t>Assinado eletronicamente por: Simone Nassar Tebet</w:t>
      </w:r>
      <w:r w:rsidRPr="009504A4">
        <w:rPr>
          <w:rFonts w:ascii="Arial" w:hAnsi="Arial" w:cs="Arial"/>
          <w:b/>
          <w:i/>
          <w:sz w:val="20"/>
          <w:szCs w:val="20"/>
        </w:rPr>
        <w:br w:type="page"/>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26443 - Empresa Brasileira de Serviços Hospitalares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049 - Recursos Próprios da UO para Aplicação em Seguridade Social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612.019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434.667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-177.352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14.667.414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15.504.403</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836.989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9.221.826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37.880.667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28.658.841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16300000 - Serviços e Atividades Referentes à Saúde</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64.413.028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152.801.537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88.388.509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830.941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1.418.355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587.414</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1.596.679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929.064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-667.615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19900000 - Demais Receitas Correntes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243.699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-243.699</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91.585.606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208.968.693</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117.383.087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71.599.451</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71.599.451</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45.783.636</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26230 - Fundação Universidade Federal do Vale do São Francisco</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18.205</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173.858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155.653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2.343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-2.343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156.104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81.731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-74.373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1.631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46.006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44.375</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178.283</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301.595</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123.312</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100.189</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100.189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23.123</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26231 - Universidade Federal de Alagoas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534.500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541.690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7.190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3.489.184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8.592.595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5.103.411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19900000 - Demais Receitas Correntes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1.269.768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216.764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-1.053.004</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5.293.452</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9.351.049</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4.057.597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418.343</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418.343</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3.639.254</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26234 - Universidade Federal do Espírito Santo</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1.525.188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2.498.479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973.291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66.776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2.196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-64.580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14.326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52.216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37.890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16.304.256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26.907.842</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10.603.586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13.177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18.979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5.802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47.803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1.027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-46.776</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17.971.526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29.480.739</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11.509.213</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2.736.962</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2.736.962</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8.772.251</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26235 - Universidade Federal de Goiás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522.708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1.015.894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493.186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13900000 - Demais Receitas Patrimoniais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2.986.101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2.986.101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12.243.192</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15.640.041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3.396.849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10.498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46.471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35.973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16.593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-16.593</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12.792.991</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19.688.507</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6.895.516</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2.252.180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2.252.180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4.643.336</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09/10/2023.</w:t>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26238 - Universidade Federal de Minas Gerais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9.376.594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8.870.681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-505.913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902.868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898.819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-4.049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15100000 - Receita Industrial</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100.428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58.845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-41.583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22.966.768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27.065.186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4.098.418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18.239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18.239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220.146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4.364.440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4.144.294</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76100000 - Serviços Administrativos e Comerciais Gerais - Operações Intraorçamentárias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17.429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-17.429</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33.584.233</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41.276.210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7.691.977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2.709.267</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2.709.267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4.982.710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26241 - Universidade Federal do Paraná</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4.817.757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4.915.969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98.212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3.918.646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3.588.925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-329.721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15100000 - Receita Industrial</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10.999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99.648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88.649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3.478.031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15.987.433</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12.509.402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16900000 - Outros Serviços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227.052</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-227.052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57.921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743.831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685.910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4.887.599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703.698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-4.183.901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19900000 - Demais Receitas Correntes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82.447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-82.447</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17.480.452</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26.039.504</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8.559.052</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6.273.002</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6.273.002</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2.286.050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26245 - Universidade Federal do Rio de Janeiro</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50.843.181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56.571.782</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5.728.601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3.336.901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10.024.425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6.687.524</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1.697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36.706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35.009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2.798.835</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1.929.418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-869.417</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19900000 - Demais Receitas Correntes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240.372</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43.960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-196.412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76100000 - Serviços Administrativos e Comerciais Gerais - Operações Intraorçamentárias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2.178.704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-2.178.704</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59.399.690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68.606.291</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9.206.601</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2.790.364</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2.790.364</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6.416.237</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26247 - Universidade Federal de Santa Maria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1.069.354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1.311.840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242.486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368.969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126.200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-242.769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762.466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3.335.395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2.572.929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16900000 - Outros Serviços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-10.028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144.576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45.720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-98.856</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2.355.393</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4.819.155</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2.463.762</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653.151</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653.151</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1.810.611</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26250 - Fundação Universidade Federal de Roraima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226.467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28.000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-198.467</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78.928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1.407.041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1.328.113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33.783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35.251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1.468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11.198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11.198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19900000 - Demais Receitas Correntes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77.138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-77.138</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416.316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1.481.490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1.065.174</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722.378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722.378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342.796</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26260 - Universidade Federal de Alfenas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17.052</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168.186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151.134</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1.076.795</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2.048.880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972.085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124.948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295.498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170.550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1.218.795</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2.512.564</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1.293.769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772.376</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772.376</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521.393</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26283 - Fundação Universidade Federal de Mato Grosso do Sul</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2.354.041</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2.492.708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138.667</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14.246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14.197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4.500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-4.500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690.313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1.622.792</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932.479</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16900000 - Outros Serviços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3.600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1.160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-2.440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16.886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168.711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151.825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17.197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17.197</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3.083.586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4.316.765</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1.233.179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833.498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833.498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-1.185.520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-1.185.520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1.585.201</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26285 - Fundação Universidade Federal de São João del-Rei</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276.330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168.439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-107.891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380.229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806.995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426.766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7.423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124.069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116.646</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663.982</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1.099.503</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435.521</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204.897</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204.897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230.624</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26405 - Instituto Federal do Ceará</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118.600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178.938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60.338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185.744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585.464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399.720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300.609</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444.674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144.065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27.133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10.203</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-16.930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632.086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1.219.279</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587.193</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568.103</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568.103</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19.090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26423 - Instituto Federal de Sergipe</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8.647</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203.959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195.312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17.376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8.900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-8.476</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26.023</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212.859</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186.836</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96.827</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96.827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90.009</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26424 - Instituto Federal do Tocantins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14.768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45.639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30.871</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13200000 - Valores Mobiliários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1.380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1.374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14100000 - Receita Agropecuária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41.563</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49.695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8.132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15100000 - Receita Industrial</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4.605</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11.380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6.775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9.090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183.193</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174.103</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71.406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291.281</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219.875</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87.254</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87.254</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132.621</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26427 - Instituto Federal da Bahia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232.728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844.278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611.550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2.864</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2.864</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232.728</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847.142</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614.414</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53.745</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53.745</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560.669</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26431 - Instituto Federal do Piauí</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8.848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53.220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44.372</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50.024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80.080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30.056</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58.872</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133.300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74.428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74.428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74.428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26442 - Universidade da Integração Internacional da Lusofonia Afro-Brasileira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81.728</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81.728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78.742</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66.837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-11.905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19100000 - Multas Administrativas, Contratuais e Judiciais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8.884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133.067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124.183</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37.551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37.551</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169.354</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319.183</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149.829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119.771</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119.771</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30.058</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26450 - Universidade Federal do Sul da Bahia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Próprios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13100000 - Exploração do Patrimônio Imobiliário do Estado</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8.676</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8.676</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16100000 - Serviços Administrativos e Comerciais Gerais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25.244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54.085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28.841</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25.244</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62.761</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37.517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13.840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13.840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23.677</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26231 - Universidade Federal de Alagoas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Recursos Próprios da UO para Aplicação Exclusiva em Despesas de Capital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22100000 - Alienação de Bens 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119.800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119.800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119.800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119.800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103.500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103.500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16.300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26241 - Universidade Federal do Paraná</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Recursos Próprios da UO para Aplicação Exclusiva em Despesas de Capital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22100000 - Alienação de Bens 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1.106.677</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1.106.677</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22200000 - Alienação de Bens Imóveis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1.568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1.568</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1.108.245</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1.108.245</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165.927</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165.927</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942.318</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26283 - Fundação Universidade Federal de Mato Grosso do Sul</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Recursos Próprios da UO para Aplicação Exclusiva em Despesas de Capital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22100000 - Alienação de Bens 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242.670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242.670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242.670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242.670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37.518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37.518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205.152</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26351 - Universidade Federal do Recôncavo da Bahia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Recursos Próprios da UO para Aplicação Exclusiva em Despesas de Capital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22100000 - Alienação de Bens 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578.310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578.310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578.310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578.310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530.300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530.300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48.010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26424 - Instituto Federal do Tocantins</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Recursos Próprios da UO para Aplicação Exclusiva em Despesas de Capital</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22100000 - Alienação de Bens Móveis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814.514</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139.635</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-674.879</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814.514</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139.635</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-674.879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88.759</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88.759</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-763.638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-763.638</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68902 - Fundo Nacional de Aviação Civil - FNAC</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052 - Recursos Livres da UO</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13300000 - Delegação de Serviços Públicos Mediante Concessão, Permissão, Autorização ou Licença</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2.344.102.456</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4.928.938.251</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2.584.835.795</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19200000 - Indenizações, Restituições e Ressarcimentos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16.019</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16.019</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2.344.102.456</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4.928.954.270</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2.584.851.814</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134.900.000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134.900.000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2.449.951.814</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Posição de 09/10/2023.</w:t>
      </w:r>
    </w:p>
    <w:p w:rsidR="004E11A4" w:rsidRPr="009504A4" w:rsidRDefault="004E11A4" w:rsidP="004E11A4">
      <w:pPr>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4E11A4" w:rsidRPr="009504A4" w:rsidTr="00852745">
        <w:tc>
          <w:tcPr>
            <w:tcW w:w="9615" w:type="dxa"/>
            <w:gridSpan w:val="7"/>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EXCESSO DE ARRECADAÇÃO</w:t>
            </w:r>
          </w:p>
        </w:tc>
      </w:tr>
      <w:tr w:rsidR="004E11A4" w:rsidRPr="009504A4" w:rsidTr="00852745">
        <w:tc>
          <w:tcPr>
            <w:tcW w:w="9615" w:type="dxa"/>
            <w:gridSpan w:val="7"/>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5º, da Lei nº 14.436, de 9 de agosto de 2022)</w:t>
            </w: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15" w:type="dxa"/>
            <w:gridSpan w:val="7"/>
            <w:tcBorders>
              <w:top w:val="single" w:sz="8" w:space="0" w:color="000000"/>
              <w:bottom w:val="single" w:sz="8"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26267 - Universidade Federal da Integração Latino Americana</w:t>
            </w:r>
          </w:p>
        </w:tc>
      </w:tr>
      <w:tr w:rsidR="004E11A4" w:rsidRPr="009504A4" w:rsidTr="00852745">
        <w:tc>
          <w:tcPr>
            <w:tcW w:w="7935" w:type="dxa"/>
            <w:gridSpan w:val="6"/>
            <w:tcBorders>
              <w:bottom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081 - Convênios</w:t>
            </w:r>
          </w:p>
        </w:tc>
        <w:tc>
          <w:tcPr>
            <w:tcW w:w="1680" w:type="dxa"/>
            <w:tcBorders>
              <w:bottom w:val="single" w:sz="4"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3435" w:type="dxa"/>
            <w:gridSpan w:val="2"/>
            <w:tcBorders>
              <w:top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4E11A4" w:rsidRPr="009504A4" w:rsidRDefault="004E11A4"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4E11A4" w:rsidRPr="009504A4" w:rsidRDefault="004E11A4" w:rsidP="00852745">
            <w:pPr>
              <w:pStyle w:val="xl48"/>
              <w:snapToGrid w:val="0"/>
              <w:spacing w:before="0" w:after="0"/>
              <w:rPr>
                <w:rFonts w:ascii="Arial" w:hAnsi="Arial" w:cs="Arial"/>
                <w:sz w:val="20"/>
                <w:szCs w:val="20"/>
              </w:rPr>
            </w:pPr>
            <w:r w:rsidRPr="009504A4">
              <w:rPr>
                <w:rFonts w:ascii="Arial" w:eastAsia="Times New Roman" w:hAnsi="Arial" w:cs="Arial"/>
                <w:sz w:val="20"/>
                <w:szCs w:val="20"/>
              </w:rPr>
              <w:t>EXCESSO/</w:t>
            </w:r>
          </w:p>
        </w:tc>
      </w:tr>
      <w:tr w:rsidR="004E11A4" w:rsidRPr="009504A4" w:rsidTr="00852745">
        <w:tc>
          <w:tcPr>
            <w:tcW w:w="3435" w:type="dxa"/>
            <w:gridSpan w:val="2"/>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NATUREZA</w:t>
            </w:r>
          </w:p>
        </w:tc>
        <w:tc>
          <w:tcPr>
            <w:tcW w:w="1200" w:type="dxa"/>
            <w:shd w:val="clear" w:color="auto" w:fill="auto"/>
            <w:vAlign w:val="bottom"/>
          </w:tcPr>
          <w:p w:rsidR="004E11A4" w:rsidRPr="009504A4" w:rsidRDefault="004E11A4"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LEI</w:t>
            </w:r>
          </w:p>
        </w:tc>
        <w:tc>
          <w:tcPr>
            <w:tcW w:w="1845"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REESTIMATIVA</w:t>
            </w:r>
          </w:p>
        </w:tc>
        <w:tc>
          <w:tcPr>
            <w:tcW w:w="1680" w:type="dxa"/>
            <w:tcBorders>
              <w:left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FRUSTRAÇÃO</w:t>
            </w:r>
          </w:p>
        </w:tc>
      </w:tr>
      <w:tr w:rsidR="004E11A4" w:rsidRPr="009504A4" w:rsidTr="00852745">
        <w:tc>
          <w:tcPr>
            <w:tcW w:w="3435" w:type="dxa"/>
            <w:gridSpan w:val="2"/>
            <w:tcBorders>
              <w:bottom w:val="single" w:sz="4" w:space="0" w:color="000000"/>
            </w:tcBorders>
            <w:shd w:val="clear" w:color="auto" w:fill="auto"/>
            <w:vAlign w:val="bottom"/>
          </w:tcPr>
          <w:p w:rsidR="004E11A4" w:rsidRPr="009504A4" w:rsidRDefault="004E11A4"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4E11A4" w:rsidRPr="009504A4" w:rsidRDefault="004E11A4"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(C) = (B) - (A)</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17200000 - Transferências dos Estados e do Distrito Federal e de suas Entidades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1.105.750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1.568.808</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463.058</w:t>
            </w:r>
          </w:p>
        </w:tc>
      </w:tr>
      <w:tr w:rsidR="004E11A4" w:rsidRPr="009504A4" w:rsidTr="00852745">
        <w:trPr>
          <w:trHeight w:val="255"/>
        </w:trPr>
        <w:tc>
          <w:tcPr>
            <w:tcW w:w="463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24400000 - Transferências de Instituições Privadas</w:t>
            </w:r>
          </w:p>
        </w:tc>
        <w:tc>
          <w:tcPr>
            <w:tcW w:w="1455" w:type="dxa"/>
            <w:gridSpan w:val="2"/>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159.250</w:t>
            </w:r>
          </w:p>
        </w:tc>
        <w:tc>
          <w:tcPr>
            <w:tcW w:w="1845"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c>
          <w:tcPr>
            <w:tcW w:w="168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-159.250</w:t>
            </w:r>
          </w:p>
        </w:tc>
      </w:tr>
      <w:tr w:rsidR="004E11A4" w:rsidRPr="009504A4" w:rsidTr="00852745">
        <w:trPr>
          <w:trHeight w:val="226"/>
        </w:trPr>
        <w:tc>
          <w:tcPr>
            <w:tcW w:w="4635" w:type="dxa"/>
            <w:gridSpan w:val="3"/>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rPr>
                <w:rFonts w:ascii="Arial" w:hAnsi="Arial" w:cs="Arial"/>
                <w:sz w:val="20"/>
                <w:szCs w:val="20"/>
              </w:rPr>
            </w:pPr>
            <w:r w:rsidRPr="009504A4">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1.265.000</w:t>
            </w:r>
          </w:p>
        </w:tc>
        <w:tc>
          <w:tcPr>
            <w:tcW w:w="1845"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hAnsi="Arial" w:cs="Arial"/>
                <w:b/>
                <w:bCs/>
                <w:sz w:val="20"/>
                <w:szCs w:val="20"/>
              </w:rPr>
              <w:t>1.568.808</w:t>
            </w:r>
          </w:p>
        </w:tc>
        <w:tc>
          <w:tcPr>
            <w:tcW w:w="1680" w:type="dxa"/>
            <w:tcBorders>
              <w:top w:val="single" w:sz="8" w:space="0" w:color="000000"/>
              <w:bottom w:val="single" w:sz="8" w:space="0" w:color="000000"/>
            </w:tcBorders>
            <w:shd w:val="clear" w:color="auto" w:fill="auto"/>
            <w:vAlign w:val="center"/>
          </w:tcPr>
          <w:p w:rsidR="004E11A4" w:rsidRPr="009504A4" w:rsidRDefault="004E11A4" w:rsidP="00852745">
            <w:pPr>
              <w:snapToGrid w:val="0"/>
              <w:spacing w:line="100" w:lineRule="atLeast"/>
              <w:jc w:val="right"/>
              <w:rPr>
                <w:rFonts w:ascii="Arial" w:hAnsi="Arial" w:cs="Arial"/>
                <w:sz w:val="20"/>
                <w:szCs w:val="20"/>
              </w:rPr>
            </w:pPr>
            <w:r w:rsidRPr="009504A4">
              <w:rPr>
                <w:rFonts w:ascii="Arial" w:eastAsia="Consolas" w:hAnsi="Arial" w:cs="Arial"/>
                <w:b/>
                <w:bCs/>
                <w:sz w:val="20"/>
                <w:szCs w:val="20"/>
              </w:rPr>
              <w:t>303.808</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Especiais e Extraordinários Reabertos</w:t>
            </w:r>
          </w:p>
        </w:tc>
        <w:tc>
          <w:tcPr>
            <w:tcW w:w="4485" w:type="dxa"/>
            <w:gridSpan w:val="3"/>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Extraordinários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(F) Créditos Suplementares e Especiais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300.000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300.000</w:t>
            </w:r>
          </w:p>
        </w:tc>
      </w:tr>
      <w:tr w:rsidR="004E11A4" w:rsidRPr="009504A4" w:rsidTr="00852745">
        <w:trPr>
          <w:trHeight w:val="255"/>
        </w:trPr>
        <w:tc>
          <w:tcPr>
            <w:tcW w:w="5130" w:type="dxa"/>
            <w:gridSpan w:val="4"/>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(G) </w:t>
            </w:r>
            <w:r w:rsidRPr="009504A4">
              <w:rPr>
                <w:rFonts w:ascii="Arial" w:eastAsia="TimesNewRomanPSMT" w:hAnsi="Arial" w:cs="Arial"/>
                <w:sz w:val="20"/>
                <w:szCs w:val="20"/>
              </w:rPr>
              <w:t>Outras alterações orçamentárias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25" w:type="dxa"/>
            <w:shd w:val="clear" w:color="auto" w:fill="auto"/>
          </w:tcPr>
          <w:p w:rsidR="004E11A4" w:rsidRPr="009504A4" w:rsidRDefault="004E11A4" w:rsidP="00852745">
            <w:pPr>
              <w:snapToGrid w:val="0"/>
              <w:rPr>
                <w:rFonts w:ascii="Arial" w:hAnsi="Arial" w:cs="Arial"/>
                <w:sz w:val="20"/>
                <w:szCs w:val="20"/>
              </w:rPr>
            </w:pPr>
          </w:p>
        </w:tc>
        <w:tc>
          <w:tcPr>
            <w:tcW w:w="4005"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3"/>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30" w:type="dxa"/>
            <w:gridSpan w:val="4"/>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3.808</w:t>
            </w:r>
          </w:p>
        </w:tc>
      </w:tr>
    </w:tbl>
    <w:p w:rsidR="004E11A4" w:rsidRPr="009504A4" w:rsidRDefault="004E11A4">
      <w:pPr>
        <w:pStyle w:val="Standard"/>
        <w:ind w:left="567" w:right="284"/>
        <w:rPr>
          <w:rFonts w:ascii="Arial" w:hAnsi="Arial" w:cs="Arial"/>
          <w:b/>
          <w:i/>
          <w:sz w:val="20"/>
          <w:szCs w:val="20"/>
        </w:rPr>
        <w:sectPr w:rsidR="004E11A4" w:rsidRPr="009504A4">
          <w:pgSz w:w="11906" w:h="16838"/>
          <w:pgMar w:top="1134" w:right="1134" w:bottom="1134" w:left="1134" w:header="720" w:footer="720" w:gutter="0"/>
          <w:cols w:space="720"/>
        </w:sectPr>
      </w:pPr>
    </w:p>
    <w:p w:rsidR="004E11A4" w:rsidRPr="009504A4" w:rsidRDefault="004E11A4" w:rsidP="004E11A4">
      <w:pPr>
        <w:pStyle w:val="xl48"/>
        <w:spacing w:before="0" w:after="0"/>
        <w:jc w:val="left"/>
        <w:rPr>
          <w:rFonts w:ascii="Arial" w:eastAsia="Times New Roman" w:hAnsi="Arial" w:cs="Arial"/>
          <w:b/>
          <w:bCs/>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26298 - Fundo Nacional de Desenvolvimento da Educação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008 - EDUC.PUB., COM PRIORIDADE EDUC.BASICA</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38.073.621</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24.144.243</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24.144.243</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13.929.378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13.929.378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26231 - Universidade Federal de Alagoas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1.646.667</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1.646.667</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1.646.667</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26235 - Universidade Federal de Goiás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4.868.518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4.868.518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4.868.518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26236 - Universidade Federal Fluminense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839.204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839.204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839.204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26244 - Universidade Federal do Rio Grande do Sul</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328.724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328.724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328.724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26246 - Universidade Federal de Santa Catarina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1.076.176</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1.076.176</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1.076.176</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26256 - Centro Federal de Educação Tecnológica Celso Suckow da Fonseca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480.892</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480.892</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480.892</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26264 - Universidade Federal Rural do Semi-Árido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697.331</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697.331</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697.331</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26273 - Fundação Universidade Federal do Rio Grande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1.325.009</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781.266</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781.266</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543.743</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543.743</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26276 - Fundação Universidade Federal de Mato Grosso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6.875.169</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6.875.169</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6.875.169</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26278 - Fundação Universidade Federal de Pelotas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122.021</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122.021</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122.021</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26281 - Fundação Universidade Federal de Sergipe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3.101.420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3.101.420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3.101.420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26286 - Fundação Universidade Federal do Amapá</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1.978.023</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1.952.070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1.952.070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25.953</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26350 - Fundação Universidade Federal da Grande Dourados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189.478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189.478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189.478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2/10/2023.</w:t>
      </w:r>
    </w:p>
    <w:p w:rsidR="004E11A4" w:rsidRPr="009504A4" w:rsidRDefault="004E11A4" w:rsidP="004E11A4">
      <w:pPr>
        <w:jc w:val="both"/>
        <w:rPr>
          <w:rFonts w:ascii="Arial" w:hAnsi="Arial" w:cs="Arial"/>
          <w:sz w:val="20"/>
          <w:szCs w:val="20"/>
        </w:rPr>
      </w:pP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26406 - Instituto Federal do Espírito Santo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2.259.604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1.074.939</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1.074.939</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1.184.665</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26414 - Instituto Federal do Mato Grosso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420.333</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420.333</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420.333</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26420 - Instituto Federal Farroupilha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1.313.429</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780.585</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780.585</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532.844</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26423 - Instituto Federal de Sergipe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100.898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100.898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100.898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26424 - Instituto Federal do Tocantins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345.695</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345.695</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345.695</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26427 - Instituto Federal da Bahia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-686.708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972.462</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285.754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285.754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26431 - Instituto Federal do Piauí</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3.765.104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3.765.104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3.765.104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26436 - Instituto Federal Sul-rio-grandense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109.497</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109.497</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109.497</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26440 - Universidade Federal da Fronteira Sul</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92.021</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92.021</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92.021</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52232 - Caixa de Construções de Casas para o Pessoal da Marinha - CCCPM</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34.448.623</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20.700.000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20.700.000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13.748.623</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52931 - Fundo Naval</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050 - RECURSOS PROPRIOS LIVRES DA UO</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1.773.074.925</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19.358.790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15.338.542</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4.020.248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1.753.716.135</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26231 - Universidade Federal de Alagoas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2.220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2.220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2.220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26244 - Universidade Federal do Rio Grande do Sul</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105.400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105.400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105.400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26246 - Universidade Federal de Santa Catarina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78.374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78.374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78.374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26256 - Centro Federal de Educação Tecnológica Celso Suckow da Fonseca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4.168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4.168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4.168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26264 - Universidade Federal Rural do Semi-Árido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40.424</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40.424</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40.424</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26278 - Fundação Universidade Federal de Pelotas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32.580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32.580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32.580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26414 - Instituto Federal do Mato Grosso</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15.005</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15.005</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15.005</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jc w:val="both"/>
        <w:rPr>
          <w:rFonts w:ascii="Arial" w:hAnsi="Arial" w:cs="Arial"/>
          <w:sz w:val="20"/>
          <w:szCs w:val="20"/>
        </w:rPr>
      </w:pP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26423 - Instituto Federal de Sergipe</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94.530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94.530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94.530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26431 - Instituto Federal do Piauí</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051 - REC.PROP.UO APLIC.EXCL.EM DESP.DE CAPITAL</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201.785</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201.785</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201.785</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26256 - Centro Federal de Educação Tecnológica Celso Suckow da Fonseca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081 - CONVENIOS</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24.988</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24.988</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24.988</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26267 - Universidade Federal da Integração Latino Americana</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081 - CONVENIOS</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904.760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350.000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350.000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554.760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rsidP="004E11A4">
      <w:pPr>
        <w:rPr>
          <w:rFonts w:ascii="Arial" w:hAnsi="Arial" w:cs="Arial"/>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1110"/>
        <w:gridCol w:w="4005"/>
        <w:gridCol w:w="825"/>
        <w:gridCol w:w="3660"/>
      </w:tblGrid>
      <w:tr w:rsidR="004E11A4" w:rsidRPr="009504A4" w:rsidTr="00852745">
        <w:tc>
          <w:tcPr>
            <w:tcW w:w="9600" w:type="dxa"/>
            <w:gridSpan w:val="4"/>
            <w:shd w:val="clear" w:color="auto" w:fill="auto"/>
            <w:vAlign w:val="bottom"/>
          </w:tcPr>
          <w:p w:rsidR="004E11A4" w:rsidRPr="009504A4" w:rsidRDefault="004E11A4" w:rsidP="00852745">
            <w:pPr>
              <w:pageBreakBefore/>
              <w:snapToGrid w:val="0"/>
              <w:jc w:val="center"/>
              <w:rPr>
                <w:rFonts w:ascii="Arial" w:hAnsi="Arial" w:cs="Arial"/>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jc w:val="center"/>
              <w:rPr>
                <w:rFonts w:ascii="Arial" w:hAnsi="Arial" w:cs="Arial"/>
                <w:sz w:val="20"/>
                <w:szCs w:val="20"/>
              </w:rPr>
            </w:pPr>
            <w:r w:rsidRPr="009504A4">
              <w:rPr>
                <w:rFonts w:ascii="Arial" w:hAnsi="Arial" w:cs="Arial"/>
                <w:sz w:val="20"/>
                <w:szCs w:val="20"/>
              </w:rPr>
              <w:t>DEMONSTRATIVO DE SUPERÁVIT FINANCEIRO</w:t>
            </w:r>
          </w:p>
        </w:tc>
      </w:tr>
      <w:tr w:rsidR="004E11A4" w:rsidRPr="009504A4" w:rsidTr="00852745">
        <w:tc>
          <w:tcPr>
            <w:tcW w:w="9600" w:type="dxa"/>
            <w:gridSpan w:val="4"/>
            <w:shd w:val="clear" w:color="auto" w:fill="auto"/>
            <w:vAlign w:val="bottom"/>
          </w:tcPr>
          <w:p w:rsidR="004E11A4" w:rsidRPr="009504A4" w:rsidRDefault="004E11A4" w:rsidP="00852745">
            <w:pPr>
              <w:snapToGrid w:val="0"/>
              <w:jc w:val="center"/>
              <w:rPr>
                <w:rFonts w:ascii="Arial" w:hAnsi="Arial" w:cs="Arial"/>
                <w:sz w:val="20"/>
                <w:szCs w:val="20"/>
              </w:rPr>
            </w:pPr>
            <w:r w:rsidRPr="009504A4">
              <w:rPr>
                <w:rFonts w:ascii="Arial" w:hAnsi="Arial" w:cs="Arial"/>
                <w:sz w:val="20"/>
                <w:szCs w:val="20"/>
              </w:rPr>
              <w:t>(Art. 52, § 6º, da Lei nº 14.436, de 9 de agosto de 2022)</w:t>
            </w:r>
          </w:p>
        </w:tc>
      </w:tr>
      <w:tr w:rsidR="004E11A4" w:rsidRPr="009504A4" w:rsidTr="00852745">
        <w:tc>
          <w:tcPr>
            <w:tcW w:w="9600" w:type="dxa"/>
            <w:gridSpan w:val="4"/>
            <w:shd w:val="clear" w:color="auto" w:fill="auto"/>
            <w:vAlign w:val="bottom"/>
          </w:tcPr>
          <w:p w:rsidR="004E11A4" w:rsidRPr="009504A4" w:rsidRDefault="004E11A4" w:rsidP="00852745">
            <w:pPr>
              <w:snapToGrid w:val="0"/>
              <w:spacing w:line="100" w:lineRule="atLeast"/>
              <w:jc w:val="right"/>
              <w:rPr>
                <w:rFonts w:ascii="Arial" w:hAnsi="Arial" w:cs="Arial"/>
                <w:b/>
                <w:bCs/>
                <w:sz w:val="20"/>
                <w:szCs w:val="20"/>
              </w:rPr>
            </w:pP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Unidade Orçamentária: 26278 - Fundação Universidade Federal de Pelotas</w:t>
            </w:r>
          </w:p>
        </w:tc>
      </w:tr>
      <w:tr w:rsidR="004E11A4" w:rsidRPr="009504A4" w:rsidTr="00852745">
        <w:tc>
          <w:tcPr>
            <w:tcW w:w="9600" w:type="dxa"/>
            <w:gridSpan w:val="4"/>
            <w:shd w:val="clear" w:color="auto" w:fill="auto"/>
            <w:vAlign w:val="bottom"/>
          </w:tcPr>
          <w:p w:rsidR="004E11A4" w:rsidRPr="009504A4" w:rsidRDefault="004E11A4" w:rsidP="00852745">
            <w:pPr>
              <w:snapToGrid w:val="0"/>
              <w:rPr>
                <w:rFonts w:ascii="Arial" w:hAnsi="Arial" w:cs="Arial"/>
                <w:sz w:val="20"/>
                <w:szCs w:val="20"/>
              </w:rPr>
            </w:pPr>
            <w:r w:rsidRPr="009504A4">
              <w:rPr>
                <w:rFonts w:ascii="Arial" w:eastAsia="Consolas" w:hAnsi="Arial" w:cs="Arial"/>
                <w:sz w:val="20"/>
                <w:szCs w:val="20"/>
              </w:rPr>
              <w:t>Fonte: 081 - CONVENIOS</w:t>
            </w:r>
          </w:p>
        </w:tc>
      </w:tr>
      <w:tr w:rsidR="004E11A4" w:rsidRPr="009504A4" w:rsidTr="00852745">
        <w:tblPrEx>
          <w:tblCellMar>
            <w:top w:w="28" w:type="dxa"/>
            <w:left w:w="28" w:type="dxa"/>
            <w:bottom w:w="28" w:type="dxa"/>
            <w:right w:w="28" w:type="dxa"/>
          </w:tblCellMar>
        </w:tblPrEx>
        <w:tc>
          <w:tcPr>
            <w:tcW w:w="9600" w:type="dxa"/>
            <w:gridSpan w:val="4"/>
            <w:tcBorders>
              <w:bottom w:val="single" w:sz="8" w:space="0" w:color="000000"/>
            </w:tcBorders>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R$ 1,00</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 Superávit Financeiro apurado no balanço patrimonial do exercício de 2022</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150.806</w:t>
            </w:r>
          </w:p>
        </w:tc>
      </w:tr>
      <w:tr w:rsidR="004E11A4" w:rsidRPr="009504A4" w:rsidTr="00852745">
        <w:tc>
          <w:tcPr>
            <w:tcW w:w="5940" w:type="dxa"/>
            <w:gridSpan w:val="3"/>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(B) Remanejamentos de saldo do superávit financeiro entre unidades, compatíveis com o parágrafo único do art. 8º da LRF</w:t>
            </w:r>
          </w:p>
        </w:tc>
        <w:tc>
          <w:tcPr>
            <w:tcW w:w="3660" w:type="dxa"/>
            <w:shd w:val="clear" w:color="auto" w:fill="auto"/>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autoSpaceDE w:val="0"/>
              <w:snapToGrid w:val="0"/>
              <w:spacing w:before="45"/>
              <w:rPr>
                <w:rFonts w:ascii="Arial" w:hAnsi="Arial" w:cs="Arial"/>
                <w:sz w:val="20"/>
                <w:szCs w:val="20"/>
              </w:rPr>
            </w:pPr>
            <w:r w:rsidRPr="009504A4">
              <w:rPr>
                <w:rFonts w:ascii="Arial" w:hAnsi="Arial" w:cs="Arial"/>
                <w:color w:val="000000"/>
                <w:sz w:val="20"/>
                <w:szCs w:val="20"/>
              </w:rPr>
              <w:t>(C) Créditos Especiais e Extraordinários Reabertos</w:t>
            </w:r>
          </w:p>
        </w:tc>
        <w:tc>
          <w:tcPr>
            <w:tcW w:w="4485" w:type="dxa"/>
            <w:gridSpan w:val="2"/>
            <w:shd w:val="clear" w:color="auto" w:fill="auto"/>
          </w:tcPr>
          <w:p w:rsidR="004E11A4" w:rsidRPr="009504A4" w:rsidRDefault="004E11A4" w:rsidP="00852745">
            <w:pPr>
              <w:autoSpaceDE w:val="0"/>
              <w:snapToGrid w:val="0"/>
              <w:spacing w:before="45"/>
              <w:jc w:val="right"/>
              <w:rPr>
                <w:rFonts w:ascii="Arial" w:hAnsi="Arial" w:cs="Arial"/>
                <w:sz w:val="20"/>
                <w:szCs w:val="20"/>
              </w:rPr>
            </w:pPr>
            <w:r w:rsidRPr="009504A4">
              <w:rPr>
                <w:rFonts w:ascii="Arial" w:hAnsi="Arial" w:cs="Arial"/>
                <w:color w:val="000000"/>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color w:val="000000"/>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(D) Créditos Extraordinários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 Créditos Suplementares e Especiais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150.806</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150.806</w:t>
            </w:r>
          </w:p>
        </w:tc>
      </w:tr>
      <w:tr w:rsidR="004E11A4" w:rsidRPr="009504A4" w:rsidTr="00852745">
        <w:trPr>
          <w:trHeight w:val="255"/>
        </w:trPr>
        <w:tc>
          <w:tcPr>
            <w:tcW w:w="5115" w:type="dxa"/>
            <w:gridSpan w:val="2"/>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 xml:space="preserve">(F) </w:t>
            </w:r>
            <w:r w:rsidRPr="009504A4">
              <w:rPr>
                <w:rFonts w:ascii="Arial" w:eastAsia="TimesNewRomanPSMT" w:hAnsi="Arial" w:cs="Arial"/>
                <w:sz w:val="20"/>
                <w:szCs w:val="20"/>
              </w:rPr>
              <w:t>Outras alterações orçamentárias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Abertos</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Em tramitação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1110" w:type="dxa"/>
            <w:shd w:val="clear" w:color="auto" w:fill="auto"/>
          </w:tcPr>
          <w:p w:rsidR="004E11A4" w:rsidRPr="009504A4" w:rsidRDefault="004E11A4" w:rsidP="00852745">
            <w:pPr>
              <w:snapToGrid w:val="0"/>
              <w:rPr>
                <w:rFonts w:ascii="Arial" w:hAnsi="Arial" w:cs="Arial"/>
                <w:sz w:val="20"/>
                <w:szCs w:val="20"/>
              </w:rPr>
            </w:pPr>
          </w:p>
        </w:tc>
        <w:tc>
          <w:tcPr>
            <w:tcW w:w="4005" w:type="dxa"/>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sz w:val="20"/>
                <w:szCs w:val="20"/>
              </w:rPr>
              <w:t>Valor deste crédito</w:t>
            </w:r>
          </w:p>
        </w:tc>
        <w:tc>
          <w:tcPr>
            <w:tcW w:w="4485" w:type="dxa"/>
            <w:gridSpan w:val="2"/>
            <w:shd w:val="clear" w:color="auto" w:fill="auto"/>
            <w:vAlign w:val="bottom"/>
          </w:tcPr>
          <w:p w:rsidR="004E11A4" w:rsidRPr="009504A4" w:rsidRDefault="004E11A4" w:rsidP="00852745">
            <w:pPr>
              <w:snapToGrid w:val="0"/>
              <w:jc w:val="right"/>
              <w:rPr>
                <w:rFonts w:ascii="Arial" w:hAnsi="Arial" w:cs="Arial"/>
                <w:sz w:val="20"/>
                <w:szCs w:val="20"/>
              </w:rPr>
            </w:pPr>
            <w:r w:rsidRPr="009504A4">
              <w:rPr>
                <w:rFonts w:ascii="Arial" w:hAnsi="Arial" w:cs="Arial"/>
                <w:sz w:val="20"/>
                <w:szCs w:val="20"/>
              </w:rPr>
              <w:t>0</w:t>
            </w:r>
          </w:p>
        </w:tc>
      </w:tr>
      <w:tr w:rsidR="004E11A4" w:rsidRPr="009504A4" w:rsidTr="00852745">
        <w:trPr>
          <w:trHeight w:val="255"/>
        </w:trPr>
        <w:tc>
          <w:tcPr>
            <w:tcW w:w="5115" w:type="dxa"/>
            <w:gridSpan w:val="2"/>
            <w:tcBorders>
              <w:top w:val="single" w:sz="8" w:space="0" w:color="000000"/>
              <w:bottom w:val="single" w:sz="8" w:space="0" w:color="000000"/>
            </w:tcBorders>
            <w:shd w:val="clear" w:color="auto" w:fill="auto"/>
          </w:tcPr>
          <w:p w:rsidR="004E11A4" w:rsidRPr="009504A4" w:rsidRDefault="004E11A4" w:rsidP="00852745">
            <w:pPr>
              <w:snapToGrid w:val="0"/>
              <w:rPr>
                <w:rFonts w:ascii="Arial" w:hAnsi="Arial" w:cs="Arial"/>
                <w:sz w:val="20"/>
                <w:szCs w:val="20"/>
              </w:rPr>
            </w:pPr>
            <w:r w:rsidRPr="009504A4">
              <w:rPr>
                <w:rFonts w:ascii="Arial" w:hAnsi="Arial" w:cs="Arial"/>
                <w:b/>
                <w:bCs/>
                <w:sz w:val="20"/>
                <w:szCs w:val="20"/>
              </w:rPr>
              <w:t>(G) Saldo = (A) + (B) - (C) - (D) - (E) - (F)</w:t>
            </w:r>
          </w:p>
        </w:tc>
        <w:tc>
          <w:tcPr>
            <w:tcW w:w="4485" w:type="dxa"/>
            <w:gridSpan w:val="2"/>
            <w:tcBorders>
              <w:top w:val="single" w:sz="8" w:space="0" w:color="000000"/>
              <w:bottom w:val="single" w:sz="8" w:space="0" w:color="000000"/>
            </w:tcBorders>
            <w:shd w:val="clear" w:color="auto" w:fill="auto"/>
            <w:vAlign w:val="bottom"/>
          </w:tcPr>
          <w:p w:rsidR="004E11A4" w:rsidRPr="009504A4" w:rsidRDefault="004E11A4" w:rsidP="00852745">
            <w:pPr>
              <w:snapToGrid w:val="0"/>
              <w:ind w:left="-7455"/>
              <w:jc w:val="right"/>
              <w:rPr>
                <w:rFonts w:ascii="Arial" w:hAnsi="Arial" w:cs="Arial"/>
                <w:sz w:val="20"/>
                <w:szCs w:val="20"/>
              </w:rPr>
            </w:pPr>
            <w:r w:rsidRPr="009504A4">
              <w:rPr>
                <w:rFonts w:ascii="Arial" w:hAnsi="Arial" w:cs="Arial"/>
                <w:b/>
                <w:bCs/>
                <w:sz w:val="20"/>
                <w:szCs w:val="20"/>
              </w:rPr>
              <w:t>0</w:t>
            </w:r>
          </w:p>
        </w:tc>
      </w:tr>
    </w:tbl>
    <w:p w:rsidR="004E11A4" w:rsidRPr="009504A4" w:rsidRDefault="004E11A4" w:rsidP="004E11A4">
      <w:pPr>
        <w:jc w:val="both"/>
        <w:rPr>
          <w:rFonts w:ascii="Arial" w:hAnsi="Arial" w:cs="Arial"/>
          <w:sz w:val="20"/>
          <w:szCs w:val="20"/>
        </w:rPr>
      </w:pPr>
      <w:r w:rsidRPr="009504A4">
        <w:rPr>
          <w:rFonts w:ascii="Arial" w:hAnsi="Arial" w:cs="Arial"/>
          <w:sz w:val="20"/>
          <w:szCs w:val="20"/>
        </w:rPr>
        <w:t>(A) Portaria STN/ME nº 1.585, de 23 de fevereiro de 2023.</w:t>
      </w:r>
    </w:p>
    <w:p w:rsidR="004E11A4" w:rsidRPr="009504A4" w:rsidRDefault="004E11A4" w:rsidP="004E11A4">
      <w:pPr>
        <w:jc w:val="both"/>
        <w:rPr>
          <w:rFonts w:ascii="Arial" w:hAnsi="Arial" w:cs="Arial"/>
          <w:sz w:val="20"/>
          <w:szCs w:val="20"/>
        </w:rPr>
      </w:pPr>
      <w:r w:rsidRPr="009504A4">
        <w:rPr>
          <w:rFonts w:ascii="Arial" w:hAnsi="Arial" w:cs="Arial"/>
          <w:sz w:val="20"/>
          <w:szCs w:val="20"/>
        </w:rPr>
        <w:t>Posição em 09/10/2023.</w:t>
      </w:r>
    </w:p>
    <w:p w:rsidR="004E11A4" w:rsidRPr="009504A4" w:rsidRDefault="004E11A4">
      <w:pPr>
        <w:pStyle w:val="Standard"/>
        <w:ind w:left="567" w:right="284"/>
        <w:rPr>
          <w:rFonts w:ascii="Arial" w:hAnsi="Arial" w:cs="Arial"/>
          <w:b/>
          <w:i/>
          <w:sz w:val="20"/>
          <w:szCs w:val="20"/>
        </w:rPr>
        <w:sectPr w:rsidR="004E11A4" w:rsidRPr="009504A4">
          <w:pgSz w:w="11906" w:h="16838"/>
          <w:pgMar w:top="1417" w:right="850" w:bottom="850" w:left="1417" w:header="720" w:footer="720" w:gutter="0"/>
          <w:cols w:space="720"/>
          <w:docGrid w:linePitch="360"/>
        </w:sectPr>
      </w:pPr>
    </w:p>
    <w:tbl>
      <w:tblPr>
        <w:tblW w:w="16878" w:type="dxa"/>
        <w:tblInd w:w="20" w:type="dxa"/>
        <w:tblLayout w:type="fixed"/>
        <w:tblCellMar>
          <w:left w:w="10" w:type="dxa"/>
          <w:right w:w="10" w:type="dxa"/>
        </w:tblCellMar>
        <w:tblLook w:val="0000" w:firstRow="0" w:lastRow="0" w:firstColumn="0" w:lastColumn="0" w:noHBand="0" w:noVBand="0"/>
      </w:tblPr>
      <w:tblGrid>
        <w:gridCol w:w="400"/>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hAnsi="Arial" w:cs="Arial"/>
                <w:noProof/>
                <w:sz w:val="20"/>
                <w:szCs w:val="20"/>
                <w:lang w:eastAsia="pt-BR" w:bidi="ar-SA"/>
              </w:rPr>
              <w:drawing>
                <wp:anchor distT="0" distB="0" distL="0" distR="0" simplePos="0" relativeHeight="251659264" behindDoc="0" locked="0" layoutInCell="1" allowOverlap="1">
                  <wp:simplePos x="0" y="0"/>
                  <wp:positionH relativeFrom="column">
                    <wp:align>left</wp:align>
                  </wp:positionH>
                  <wp:positionV relativeFrom="line">
                    <wp:posOffset>0</wp:posOffset>
                  </wp:positionV>
                  <wp:extent cx="672465" cy="6724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b/>
                <w:sz w:val="20"/>
                <w:szCs w:val="20"/>
              </w:rPr>
              <w:t>Ministério do Planejamento e Orçamento</w:t>
            </w: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4E11A4" w:rsidRPr="009504A4" w:rsidRDefault="004E11A4" w:rsidP="00852745">
            <w:pPr>
              <w:jc w:val="right"/>
              <w:rPr>
                <w:rFonts w:ascii="Arial" w:hAnsi="Arial" w:cs="Arial"/>
                <w:sz w:val="20"/>
                <w:szCs w:val="20"/>
              </w:rPr>
            </w:pPr>
            <w:r w:rsidRPr="009504A4">
              <w:rPr>
                <w:rFonts w:ascii="Arial" w:eastAsia="Arial" w:hAnsi="Arial" w:cs="Arial"/>
                <w:b/>
                <w:sz w:val="20"/>
                <w:szCs w:val="20"/>
              </w:rPr>
              <w:t>Exercício: 2023</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b/>
                <w:sz w:val="20"/>
                <w:szCs w:val="20"/>
              </w:rPr>
              <w:t>RELATÓRIO DEMONSTRATIVO DOS DESVIOS</w:t>
            </w: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sz w:val="20"/>
                <w:szCs w:val="20"/>
              </w:rPr>
              <w:t>(Art.52, §18, da Lei nº 14.436, de 9 de agosto de 2022)</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1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8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w:hAnsi="Arial" w:cs="Arial"/>
                <w:b/>
                <w:sz w:val="20"/>
                <w:szCs w:val="20"/>
              </w:rPr>
              <w:t>R$ 1,00</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4E11A4" w:rsidRPr="009504A4" w:rsidRDefault="004E11A4" w:rsidP="00852745">
            <w:pPr>
              <w:rPr>
                <w:rFonts w:ascii="Arial" w:hAnsi="Arial" w:cs="Arial"/>
                <w:sz w:val="20"/>
                <w:szCs w:val="20"/>
              </w:rPr>
            </w:pPr>
            <w:r w:rsidRPr="009504A4">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LOA</w:t>
            </w:r>
            <w:r w:rsidRPr="009504A4">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Dotação</w:t>
            </w:r>
            <w:r w:rsidRPr="009504A4">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Créditos em</w:t>
            </w:r>
            <w:r w:rsidRPr="009504A4">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Valor deste</w:t>
            </w:r>
            <w:r w:rsidRPr="009504A4">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Dotação Resultante</w:t>
            </w:r>
            <w:r w:rsidRPr="009504A4">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Desvio em Relação à</w:t>
            </w:r>
            <w:r w:rsidRPr="009504A4">
              <w:rPr>
                <w:rFonts w:ascii="Arial" w:eastAsia="Arial Narrow" w:hAnsi="Arial" w:cs="Arial"/>
                <w:b/>
                <w:sz w:val="20"/>
                <w:szCs w:val="20"/>
              </w:rPr>
              <w:br/>
              <w:t>LOA (F) = (E - A) / A</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10.20101.04.121.2209.21C5.0001 - Elaboração de Estudos e Avaliação de Projetos de Investimentos do Governo Federal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10.26290.12.363.5014.21B5.0001 - Avaliação da Educação Profissional e Tecnológica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466.174</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466.174</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-466.174</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5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10.30101.06.181.5016.21BM.7129 - Desenvolvimento de Políticas de Segurança Pública, Prevenção e Enfrentamento à Criminalidade - Aquisição de Veículos, Equipamentos e Material Permanente - No Estado de Sergipe</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14.898.681</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10.30101.14.131.0032.4641.0001 - Publicidade de Utilidade Pública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2.026.090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2.026.090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-2.026.090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10.41101.24.126.2205.15UL.0010 - Implantação de Infraestrutura para os Projetos Norte e Nordeste Conectados, por Organização Social (Lei nº 9.637, de 15 de maio de 1998) - Na Região Norte</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10.41101.24.126.2205.15UL.0020 - Implantação de Infraestrutura para os Projetos Norte e Nordeste Conectados, por Organização Social (Lei nº 9.637, de 15 de maio de 1998) - Na Região Nordeste</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10.67101.14.131.0032.4641.0001 - Publicidade de Utilidade Pública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597.378</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597.378</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-597.378</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10.67101.14.422.5034.00SO.0001 - Apoio à Construção, Reforma, Equipagem e Ampliação de Unidades de Atendimento Socioeducativo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10.67101.14.422.5034.21AQ.0001 - Proteção do Direito à Vida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10.68902.26.781.3004.14UB.4458 - Reforma e Reaparelhamento de Aeroportos e Aeródromos de Interesse Regional - No Município de Caçador - SC</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9.027.868</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762.440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-762.440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10.68902.28.846.0909.00TX.0013 - Contraprestação da União no âmbito de contratos de Parceria Público-Privada - PPP para Aeroportos da Região Amazônica - No Estado do Amazonas</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10.68902.28.846.0909.00UE.3474 - Pagamento de Indenização à Concessionária do Aeroporto de Viracopos/SP - No Município de Campinas - SP</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20.55901.08.244.5031.8893.0001 - Apoio à Organização, à Gestão e à Vigilância Social no Território, no âmbito do Sistema Único de Assistência Social - SUAS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10.53201.18.544.2221.7X91.0020 - Construção da 1ª Etapa (Fase I) do Canal do Xingó - Na Região Nordeste</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13.296.808</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12.296.808</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-11.825.113</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471.695</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-96,45 %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10.53201.18.544.2221.00UO.0572 - Sistema Integrado de Abastecimento de Água no município de Balsas no Estado do Maranhão - No Município de Balsas - MA</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-950.000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-95,00 %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10.53202.04.122.0032.216H.6000 - Ajuda de Custo para Moradia ou Auxílio-Moradia a Agentes Públicos - Na Amazônia Legal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-708.886</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91.114</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-88,61 %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10.41101.24.126.2205.15UK.0001 - Implementação de Projetos de Cidades Conectadas, por Organização Social (Lei nº 9.637, de 15 de maio de 1998)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8.000.000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-6.600.000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1.400.000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-82,50 %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10.63101.03.092.4005.2674.0002 - Representação Judicial e Extrajudicial da União e suas Autarquias e Fundações Federais - Exterior</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9.628.390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6.739.873</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-1.739.873</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-3.126.369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1.873.631</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-80,54 %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10.68902.26.121.0032.20UC.0001 - Estudos, Projetos e Planejamento de Infraestrutura de Transportes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59.232.152</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49.832.152</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-35.840.270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13.991.882</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-76,38 %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10.20101.04.122.0032.216Z.0001 - Gestão e Promoção do Programa de Parcerias de Investimentos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7.733.646</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7.733.646</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-5.433.646</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2.300.000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-70,26 %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10.40203.11.122.0032.216H.0001 - Ajuda de Custo para Moradia ou Auxílio-Moradia a Agentes Públicos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700.000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-490.000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210.000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-70,00 %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10.67101.14.422.5034.21AT.0001 - Apoio no Funcionamento dos Conselhos e Comissões de Direitos Humanos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1.568.687</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1.568.687</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-1.068.687</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500.000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-68,13 %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1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4E11A4" w:rsidRPr="009504A4" w:rsidRDefault="004E11A4" w:rsidP="00852745">
            <w:pPr>
              <w:jc w:val="center"/>
              <w:rPr>
                <w:rFonts w:ascii="Arial" w:hAnsi="Arial" w:cs="Arial"/>
                <w:sz w:val="20"/>
                <w:szCs w:val="20"/>
              </w:rPr>
            </w:pPr>
            <w:r w:rsidRPr="009504A4">
              <w:rPr>
                <w:rFonts w:ascii="Arial" w:hAnsi="Arial" w:cs="Arial"/>
                <w:sz w:val="20"/>
                <w:szCs w:val="20"/>
                <w:lang w:val="en-US"/>
              </w:rPr>
              <w:t>SIOP - http://www.siop.planejamento.gov.br</w:t>
            </w:r>
          </w:p>
        </w:tc>
        <w:tc>
          <w:tcPr>
            <w:tcW w:w="819"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1600"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481"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hAnsi="Arial" w:cs="Arial"/>
                <w:sz w:val="20"/>
                <w:szCs w:val="20"/>
              </w:rPr>
              <w:t>07/10/2023 19:46</w:t>
            </w: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Página 1 de</w:t>
            </w:r>
          </w:p>
        </w:tc>
        <w:tc>
          <w:tcPr>
            <w:tcW w:w="799" w:type="dxa"/>
            <w:vMerge w:val="restart"/>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 xml:space="preserve"> 3</w:t>
            </w: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 w:type="dxa"/>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bl>
    <w:p w:rsidR="004E11A4" w:rsidRPr="009504A4" w:rsidRDefault="004E11A4" w:rsidP="004E11A4">
      <w:pPr>
        <w:rPr>
          <w:rFonts w:ascii="Arial" w:hAnsi="Arial" w:cs="Arial"/>
          <w:sz w:val="20"/>
          <w:szCs w:val="20"/>
        </w:rPr>
      </w:pPr>
      <w:r w:rsidRPr="009504A4">
        <w:rPr>
          <w:rFonts w:ascii="Arial" w:hAnsi="Arial" w:cs="Arial"/>
          <w:sz w:val="20"/>
          <w:szCs w:val="20"/>
        </w:rPr>
        <w:br w:type="page"/>
      </w:r>
    </w:p>
    <w:tbl>
      <w:tblPr>
        <w:tblW w:w="16878" w:type="dxa"/>
        <w:tblInd w:w="20" w:type="dxa"/>
        <w:tblLayout w:type="fixed"/>
        <w:tblCellMar>
          <w:left w:w="10" w:type="dxa"/>
          <w:right w:w="10" w:type="dxa"/>
        </w:tblCellMar>
        <w:tblLook w:val="0000" w:firstRow="0" w:lastRow="0" w:firstColumn="0" w:lastColumn="0" w:noHBand="0" w:noVBand="0"/>
      </w:tblPr>
      <w:tblGrid>
        <w:gridCol w:w="400"/>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hAnsi="Arial" w:cs="Arial"/>
                <w:noProof/>
                <w:sz w:val="20"/>
                <w:szCs w:val="20"/>
                <w:lang w:eastAsia="pt-BR" w:bidi="ar-SA"/>
              </w:rPr>
              <w:drawing>
                <wp:anchor distT="0" distB="0" distL="0" distR="0" simplePos="0" relativeHeight="251660288" behindDoc="0" locked="0" layoutInCell="1" allowOverlap="1">
                  <wp:simplePos x="0" y="0"/>
                  <wp:positionH relativeFrom="column">
                    <wp:align>left</wp:align>
                  </wp:positionH>
                  <wp:positionV relativeFrom="line">
                    <wp:posOffset>0</wp:posOffset>
                  </wp:positionV>
                  <wp:extent cx="672465" cy="6724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b/>
                <w:sz w:val="20"/>
                <w:szCs w:val="20"/>
              </w:rPr>
              <w:t>Ministério do Planejamento e Orçamento</w:t>
            </w: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4E11A4" w:rsidRPr="009504A4" w:rsidRDefault="004E11A4" w:rsidP="00852745">
            <w:pPr>
              <w:jc w:val="right"/>
              <w:rPr>
                <w:rFonts w:ascii="Arial" w:hAnsi="Arial" w:cs="Arial"/>
                <w:sz w:val="20"/>
                <w:szCs w:val="20"/>
              </w:rPr>
            </w:pPr>
            <w:r w:rsidRPr="009504A4">
              <w:rPr>
                <w:rFonts w:ascii="Arial" w:eastAsia="Arial" w:hAnsi="Arial" w:cs="Arial"/>
                <w:b/>
                <w:sz w:val="20"/>
                <w:szCs w:val="20"/>
              </w:rPr>
              <w:t>Exercício: 2023</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b/>
                <w:sz w:val="20"/>
                <w:szCs w:val="20"/>
              </w:rPr>
              <w:t>RELATÓRIO DEMONSTRATIVO DOS DESVIOS</w:t>
            </w: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4E11A4" w:rsidRPr="009504A4" w:rsidRDefault="004E11A4" w:rsidP="00852745">
            <w:pPr>
              <w:rPr>
                <w:rFonts w:ascii="Arial" w:hAnsi="Arial" w:cs="Arial"/>
                <w:sz w:val="20"/>
                <w:szCs w:val="20"/>
              </w:rPr>
            </w:pPr>
            <w:r w:rsidRPr="009504A4">
              <w:rPr>
                <w:rFonts w:ascii="Arial" w:eastAsia="Arial" w:hAnsi="Arial" w:cs="Arial"/>
                <w:sz w:val="20"/>
                <w:szCs w:val="20"/>
              </w:rPr>
              <w:t>(Art.52, §18, da Lei nº 14.436, de 9 de agosto de 2022)</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1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8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w:hAnsi="Arial" w:cs="Arial"/>
                <w:b/>
                <w:sz w:val="20"/>
                <w:szCs w:val="20"/>
              </w:rPr>
              <w:t>R$ 1,00</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4E11A4" w:rsidRPr="009504A4" w:rsidRDefault="004E11A4" w:rsidP="00852745">
            <w:pPr>
              <w:rPr>
                <w:rFonts w:ascii="Arial" w:hAnsi="Arial" w:cs="Arial"/>
                <w:sz w:val="20"/>
                <w:szCs w:val="20"/>
              </w:rPr>
            </w:pPr>
            <w:r w:rsidRPr="009504A4">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LOA</w:t>
            </w:r>
            <w:r w:rsidRPr="009504A4">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Dotação</w:t>
            </w:r>
            <w:r w:rsidRPr="009504A4">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Créditos em</w:t>
            </w:r>
            <w:r w:rsidRPr="009504A4">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Valor deste</w:t>
            </w:r>
            <w:r w:rsidRPr="009504A4">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Dotação Resultante</w:t>
            </w:r>
            <w:r w:rsidRPr="009504A4">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4E11A4" w:rsidRPr="009504A4" w:rsidRDefault="004E11A4" w:rsidP="00852745">
            <w:pPr>
              <w:jc w:val="right"/>
              <w:rPr>
                <w:rFonts w:ascii="Arial" w:hAnsi="Arial" w:cs="Arial"/>
                <w:sz w:val="20"/>
                <w:szCs w:val="20"/>
              </w:rPr>
            </w:pPr>
            <w:r w:rsidRPr="009504A4">
              <w:rPr>
                <w:rFonts w:ascii="Arial" w:eastAsia="Arial Narrow" w:hAnsi="Arial" w:cs="Arial"/>
                <w:b/>
                <w:sz w:val="20"/>
                <w:szCs w:val="20"/>
              </w:rPr>
              <w:t>Desvio em Relação à</w:t>
            </w:r>
            <w:r w:rsidRPr="009504A4">
              <w:rPr>
                <w:rFonts w:ascii="Arial" w:eastAsia="Arial Narrow" w:hAnsi="Arial" w:cs="Arial"/>
                <w:b/>
                <w:sz w:val="20"/>
                <w:szCs w:val="20"/>
              </w:rPr>
              <w:br/>
              <w:t>LOA (F) = (E - A) / A</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10.30212.04.125.2201.21D5.5664 - Gestão de Políticas de Proteção de Dados - Em Brasília - DF</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36.660.127</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36.660.127</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-24.655.820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12.004.307</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-67,26 %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10.53201.18.544.2221.21DE.0001 - Estudos e Projetos de Infraestrutura para Segurança Hídrica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11.063.376</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11.063.376</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-6.172.163</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4.891.213</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-55,79 %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10.68902.26.781.3004.15V1.0001 - Instalação de equipamentos de auxílios à navegação Aérea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56.940.211</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56.940.211</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-27.000.000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29.940.211</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-47,42 %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10.26290.12.128.0032.4572.0053 - Capacitação de Servidores Públicos Federais em Processo de Qualificação e Requalificação - No Distrito Federal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849.925</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849.925</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449.925</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-47,06 %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10.52931.05.125.6012.21BY.0001 - Fiscalização da Navegação Aquaviária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7.909.700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4.579.318</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-386.126</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4.193.192</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-46,99 %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10.42207.13.392.5025.14U2.0001 - Implantação, Instalação e Modernização de Espaços e Equipamentos Culturais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81.996.788</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54.502.551</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-3.652.603</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50.849.948</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-37,99 %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10.67101.14.122.0032.2000.0001 - Administração da Unidade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46.056.425</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46.056.425</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-16.733.059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29.323.366</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-36,33 %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10.68902.26.781.3004.14UB.5075 - Reforma e Reaparelhamento de Aeroportos e Aeródromos de Interesse Regional - No Município de Santo Ângelo - RS</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822.290</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822.290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-297.290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525.000</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-36,15 %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10.68902.26.781.3004.15UW.4219 - Reforma e reaparelhamento do Aeroporto de Maringá/PR - No Município de Maringá - PR</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42.578.323</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42.578.323</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-15.000.000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27.578.323</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-35,23 %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10.53202.20.608.2217.214S.6000 - Estruturação e Dinamização de Atividades Produtivas - Rotas de Integração Nacional - Na Amazônia Legal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3.433.412</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3.433.412</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-1.200.000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2.233.412</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-34,95 %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10.39252.26.784.3005.123M.0001 - Melhoramentos no Canal de Navegação da Hidrovia do Rio Tocantins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336.029.868</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336.029.868</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-114.302.669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221.727.199</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-34,02 %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10.52931.05.482.0032.21D0.0001 - Reforma, Manutenção e Readequação de Próprios Nacionais Residenciais para os Comandos Militares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13.791.139</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9.880.754</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-548.959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9.331.795</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-32,33 %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10.44102.18.541.1041.20WA.0001 - Cadastro, Recomposição e Produção Florestal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26.078.059</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26.078.059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-8.196.417</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17.881.642</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-31,43 %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20.55901.08.125.5031.2589.0001 - Avaliação e Operacionalização do Benefício de Prestação Continuada (BPC) e Manutenção da Renda Mensal Vitalícia (RMV)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8.536.949</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8.536.949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-2.600.000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5.936.949</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-30,46 %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20.55101.08.244.5033.2792.0001 - Distribuição de Alimentos a Grupos Populacionais Tradicionais e Específicos e a Famílias em Situação de Insegurança Alimentar e Nutricional Temporária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68.384.101</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68.384.101</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-19.484.770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48.899.331</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-28,49 %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10.26298.12.368.5011.0509.0001 - Apoio ao Desenvolvimento da Educação Básica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2.580.160.974</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2.002.555.442</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-10.118.119</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-60.000.000</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1.932.437.323</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-25,10 %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10.26298.12.368.5011.0509.0001 - Apoio ao Desenvolvimento da Educação Básica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2.580.160.974</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2.002.555.442</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-60.000.000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-10.118.119</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1.932.437.323</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-25,10 %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3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10.52932.05.363.6011.2510.0001 - Prestação de Ensino Profissional Marítimo - Nacional</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66.067.131</w:t>
            </w:r>
          </w:p>
        </w:tc>
        <w:tc>
          <w:tcPr>
            <w:tcW w:w="1599"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52.693.257</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0</w:t>
            </w:r>
          </w:p>
        </w:tc>
        <w:tc>
          <w:tcPr>
            <w:tcW w:w="1600" w:type="dxa"/>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-2.063.364</w:t>
            </w:r>
          </w:p>
        </w:tc>
        <w:tc>
          <w:tcPr>
            <w:tcW w:w="1600" w:type="dxa"/>
            <w:gridSpan w:val="2"/>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50.629.893</w:t>
            </w:r>
          </w:p>
        </w:tc>
        <w:tc>
          <w:tcPr>
            <w:tcW w:w="1720" w:type="dxa"/>
            <w:gridSpan w:val="3"/>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-23,37 %</w:t>
            </w: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8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6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040" w:type="dxa"/>
            <w:shd w:val="clear" w:color="auto" w:fill="auto"/>
          </w:tcPr>
          <w:p w:rsidR="004E11A4" w:rsidRPr="009504A4" w:rsidRDefault="004E11A4" w:rsidP="00852745">
            <w:pPr>
              <w:pStyle w:val="EMPTYCELLSTYLE"/>
              <w:widowControl w:val="0"/>
              <w:rPr>
                <w:rFonts w:ascii="Arial" w:hAnsi="Arial" w:cs="Arial"/>
                <w:sz w:val="20"/>
              </w:rPr>
            </w:pPr>
          </w:p>
        </w:tc>
        <w:tc>
          <w:tcPr>
            <w:tcW w:w="560" w:type="dxa"/>
            <w:shd w:val="clear" w:color="auto" w:fill="auto"/>
          </w:tcPr>
          <w:p w:rsidR="004E11A4" w:rsidRPr="009504A4" w:rsidRDefault="004E11A4" w:rsidP="00852745">
            <w:pPr>
              <w:pStyle w:val="EMPTYCELLSTYLE"/>
              <w:widowControl w:val="0"/>
              <w:rPr>
                <w:rFonts w:ascii="Arial" w:hAnsi="Arial" w:cs="Arial"/>
                <w:sz w:val="20"/>
              </w:rPr>
            </w:pPr>
          </w:p>
        </w:tc>
        <w:tc>
          <w:tcPr>
            <w:tcW w:w="799" w:type="dxa"/>
            <w:shd w:val="clear" w:color="auto" w:fill="auto"/>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4E11A4" w:rsidRPr="009504A4" w:rsidRDefault="004E11A4" w:rsidP="00852745">
            <w:pPr>
              <w:jc w:val="center"/>
              <w:rPr>
                <w:rFonts w:ascii="Arial" w:hAnsi="Arial" w:cs="Arial"/>
                <w:sz w:val="20"/>
                <w:szCs w:val="20"/>
              </w:rPr>
            </w:pPr>
            <w:r w:rsidRPr="009504A4">
              <w:rPr>
                <w:rFonts w:ascii="Arial" w:hAnsi="Arial" w:cs="Arial"/>
                <w:sz w:val="20"/>
                <w:szCs w:val="20"/>
                <w:lang w:val="en-US"/>
              </w:rPr>
              <w:t>SIOP - http://www.siop.planejamento.gov.br</w:t>
            </w:r>
          </w:p>
        </w:tc>
        <w:tc>
          <w:tcPr>
            <w:tcW w:w="819"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1600"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481" w:type="dxa"/>
            <w:shd w:val="clear" w:color="auto" w:fill="auto"/>
          </w:tcPr>
          <w:p w:rsidR="004E11A4" w:rsidRPr="009504A4" w:rsidRDefault="004E11A4" w:rsidP="00852745">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hAnsi="Arial" w:cs="Arial"/>
                <w:sz w:val="20"/>
                <w:szCs w:val="20"/>
              </w:rPr>
              <w:t>07/10/2023 19:46</w:t>
            </w: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20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4E11A4" w:rsidRPr="009504A4" w:rsidRDefault="004E11A4" w:rsidP="00852745">
            <w:pPr>
              <w:jc w:val="right"/>
              <w:rPr>
                <w:rFonts w:ascii="Arial" w:hAnsi="Arial" w:cs="Arial"/>
                <w:sz w:val="20"/>
                <w:szCs w:val="20"/>
              </w:rPr>
            </w:pPr>
            <w:r w:rsidRPr="009504A4">
              <w:rPr>
                <w:rFonts w:ascii="Arial" w:eastAsia="Arial Narrow" w:hAnsi="Arial" w:cs="Arial"/>
                <w:sz w:val="20"/>
                <w:szCs w:val="20"/>
              </w:rPr>
              <w:t>Página 2 de</w:t>
            </w:r>
          </w:p>
        </w:tc>
        <w:tc>
          <w:tcPr>
            <w:tcW w:w="799" w:type="dxa"/>
            <w:vMerge w:val="restart"/>
            <w:shd w:val="clear" w:color="auto" w:fill="auto"/>
            <w:tcMar>
              <w:left w:w="0" w:type="dxa"/>
              <w:right w:w="0" w:type="dxa"/>
            </w:tcMar>
          </w:tcPr>
          <w:p w:rsidR="004E11A4" w:rsidRPr="009504A4" w:rsidRDefault="004E11A4" w:rsidP="00852745">
            <w:pPr>
              <w:rPr>
                <w:rFonts w:ascii="Arial" w:hAnsi="Arial" w:cs="Arial"/>
                <w:sz w:val="20"/>
                <w:szCs w:val="20"/>
              </w:rPr>
            </w:pPr>
            <w:r w:rsidRPr="009504A4">
              <w:rPr>
                <w:rFonts w:ascii="Arial" w:eastAsia="Arial Narrow" w:hAnsi="Arial" w:cs="Arial"/>
                <w:sz w:val="20"/>
                <w:szCs w:val="20"/>
              </w:rPr>
              <w:t xml:space="preserve"> 3</w:t>
            </w: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 w:type="dxa"/>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r w:rsidR="004E11A4" w:rsidRPr="009504A4" w:rsidTr="00852745">
        <w:trPr>
          <w:trHeight w:hRule="exact" w:val="40"/>
        </w:trPr>
        <w:tc>
          <w:tcPr>
            <w:tcW w:w="40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799" w:type="dxa"/>
            <w:vMerge/>
            <w:shd w:val="clear" w:color="auto" w:fill="auto"/>
            <w:tcMar>
              <w:left w:w="0" w:type="dxa"/>
              <w:right w:w="0" w:type="dxa"/>
            </w:tcMar>
          </w:tcPr>
          <w:p w:rsidR="004E11A4" w:rsidRPr="009504A4" w:rsidRDefault="004E11A4" w:rsidP="00852745">
            <w:pPr>
              <w:pStyle w:val="EMPTYCELLSTYLE"/>
              <w:widowControl w:val="0"/>
              <w:rPr>
                <w:rFonts w:ascii="Arial" w:hAnsi="Arial" w:cs="Arial"/>
                <w:sz w:val="20"/>
              </w:rPr>
            </w:pPr>
          </w:p>
        </w:tc>
        <w:tc>
          <w:tcPr>
            <w:tcW w:w="3480" w:type="dxa"/>
            <w:shd w:val="clear" w:color="auto" w:fill="auto"/>
          </w:tcPr>
          <w:p w:rsidR="004E11A4" w:rsidRPr="009504A4" w:rsidRDefault="004E11A4" w:rsidP="00852745">
            <w:pPr>
              <w:pStyle w:val="EMPTYCELLSTYLE"/>
              <w:widowControl w:val="0"/>
              <w:rPr>
                <w:rFonts w:ascii="Arial" w:hAnsi="Arial" w:cs="Arial"/>
                <w:sz w:val="20"/>
              </w:rPr>
            </w:pPr>
          </w:p>
        </w:tc>
        <w:tc>
          <w:tcPr>
            <w:tcW w:w="441"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480" w:type="dxa"/>
            <w:shd w:val="clear" w:color="auto" w:fill="auto"/>
          </w:tcPr>
          <w:p w:rsidR="004E11A4" w:rsidRPr="009504A4" w:rsidRDefault="004E11A4" w:rsidP="00852745">
            <w:pPr>
              <w:pStyle w:val="EMPTYCELLSTYLE"/>
              <w:widowControl w:val="0"/>
              <w:rPr>
                <w:rFonts w:ascii="Arial" w:hAnsi="Arial" w:cs="Arial"/>
                <w:sz w:val="20"/>
              </w:rPr>
            </w:pPr>
          </w:p>
        </w:tc>
        <w:tc>
          <w:tcPr>
            <w:tcW w:w="781" w:type="dxa"/>
            <w:shd w:val="clear" w:color="auto" w:fill="auto"/>
          </w:tcPr>
          <w:p w:rsidR="004E11A4" w:rsidRPr="009504A4" w:rsidRDefault="004E11A4" w:rsidP="00852745">
            <w:pPr>
              <w:pStyle w:val="EMPTYCELLSTYLE"/>
              <w:widowControl w:val="0"/>
              <w:rPr>
                <w:rFonts w:ascii="Arial" w:hAnsi="Arial" w:cs="Arial"/>
                <w:sz w:val="20"/>
              </w:rPr>
            </w:pPr>
          </w:p>
        </w:tc>
        <w:tc>
          <w:tcPr>
            <w:tcW w:w="819" w:type="dxa"/>
            <w:shd w:val="clear" w:color="auto" w:fill="auto"/>
          </w:tcPr>
          <w:p w:rsidR="004E11A4" w:rsidRPr="009504A4" w:rsidRDefault="004E11A4" w:rsidP="00852745">
            <w:pPr>
              <w:pStyle w:val="EMPTYCELLSTYLE"/>
              <w:widowControl w:val="0"/>
              <w:rPr>
                <w:rFonts w:ascii="Arial" w:hAnsi="Arial" w:cs="Arial"/>
                <w:sz w:val="20"/>
              </w:rPr>
            </w:pPr>
          </w:p>
        </w:tc>
        <w:tc>
          <w:tcPr>
            <w:tcW w:w="1600" w:type="dxa"/>
            <w:shd w:val="clear" w:color="auto" w:fill="auto"/>
          </w:tcPr>
          <w:p w:rsidR="004E11A4" w:rsidRPr="009504A4" w:rsidRDefault="004E11A4" w:rsidP="00852745">
            <w:pPr>
              <w:pStyle w:val="EMPTYCELLSTYLE"/>
              <w:widowControl w:val="0"/>
              <w:rPr>
                <w:rFonts w:ascii="Arial" w:hAnsi="Arial" w:cs="Arial"/>
                <w:sz w:val="20"/>
              </w:rPr>
            </w:pPr>
          </w:p>
        </w:tc>
        <w:tc>
          <w:tcPr>
            <w:tcW w:w="481" w:type="dxa"/>
            <w:shd w:val="clear" w:color="auto" w:fill="auto"/>
          </w:tcPr>
          <w:p w:rsidR="004E11A4" w:rsidRPr="009504A4" w:rsidRDefault="004E11A4" w:rsidP="00852745">
            <w:pPr>
              <w:pStyle w:val="EMPTYCELLSTYLE"/>
              <w:widowControl w:val="0"/>
              <w:rPr>
                <w:rFonts w:ascii="Arial" w:hAnsi="Arial" w:cs="Arial"/>
                <w:sz w:val="20"/>
              </w:rPr>
            </w:pPr>
          </w:p>
        </w:tc>
        <w:tc>
          <w:tcPr>
            <w:tcW w:w="1119" w:type="dxa"/>
            <w:shd w:val="clear" w:color="auto" w:fill="auto"/>
          </w:tcPr>
          <w:p w:rsidR="004E11A4" w:rsidRPr="009504A4" w:rsidRDefault="004E11A4" w:rsidP="00852745">
            <w:pPr>
              <w:pStyle w:val="EMPTYCELLSTYLE"/>
              <w:widowControl w:val="0"/>
              <w:rPr>
                <w:rFonts w:ascii="Arial" w:hAnsi="Arial" w:cs="Arial"/>
                <w:sz w:val="20"/>
              </w:rPr>
            </w:pPr>
          </w:p>
        </w:tc>
        <w:tc>
          <w:tcPr>
            <w:tcW w:w="920" w:type="dxa"/>
            <w:shd w:val="clear" w:color="auto" w:fill="auto"/>
          </w:tcPr>
          <w:p w:rsidR="004E11A4" w:rsidRPr="009504A4" w:rsidRDefault="004E11A4" w:rsidP="00852745">
            <w:pPr>
              <w:pStyle w:val="EMPTYCELLSTYLE"/>
              <w:widowControl w:val="0"/>
              <w:rPr>
                <w:rFonts w:ascii="Arial" w:hAnsi="Arial" w:cs="Arial"/>
                <w:sz w:val="20"/>
              </w:rPr>
            </w:pPr>
          </w:p>
        </w:tc>
        <w:tc>
          <w:tcPr>
            <w:tcW w:w="760" w:type="dxa"/>
            <w:shd w:val="clear" w:color="auto" w:fill="auto"/>
          </w:tcPr>
          <w:p w:rsidR="004E11A4" w:rsidRPr="009504A4" w:rsidRDefault="004E11A4" w:rsidP="00852745">
            <w:pPr>
              <w:pStyle w:val="EMPTYCELLSTYLE"/>
              <w:widowControl w:val="0"/>
              <w:rPr>
                <w:rFonts w:ascii="Arial" w:hAnsi="Arial" w:cs="Arial"/>
                <w:sz w:val="20"/>
              </w:rPr>
            </w:pPr>
          </w:p>
        </w:tc>
        <w:tc>
          <w:tcPr>
            <w:tcW w:w="40" w:type="dxa"/>
            <w:shd w:val="clear" w:color="auto" w:fill="auto"/>
          </w:tcPr>
          <w:p w:rsidR="004E11A4" w:rsidRPr="009504A4" w:rsidRDefault="004E11A4" w:rsidP="00852745">
            <w:pPr>
              <w:pStyle w:val="EMPTYCELLSTYLE"/>
              <w:widowControl w:val="0"/>
              <w:rPr>
                <w:rFonts w:ascii="Arial" w:hAnsi="Arial" w:cs="Arial"/>
                <w:sz w:val="20"/>
              </w:rPr>
            </w:pPr>
          </w:p>
        </w:tc>
        <w:tc>
          <w:tcPr>
            <w:tcW w:w="399" w:type="dxa"/>
            <w:shd w:val="clear" w:color="auto" w:fill="auto"/>
          </w:tcPr>
          <w:p w:rsidR="004E11A4" w:rsidRPr="009504A4" w:rsidRDefault="004E11A4" w:rsidP="00852745">
            <w:pPr>
              <w:pStyle w:val="EMPTYCELLSTYLE"/>
              <w:widowControl w:val="0"/>
              <w:rPr>
                <w:rFonts w:ascii="Arial" w:hAnsi="Arial" w:cs="Arial"/>
                <w:sz w:val="20"/>
              </w:rPr>
            </w:pPr>
          </w:p>
        </w:tc>
      </w:tr>
    </w:tbl>
    <w:p w:rsidR="004E11A4" w:rsidRPr="009504A4" w:rsidRDefault="004E11A4" w:rsidP="004E11A4">
      <w:pPr>
        <w:rPr>
          <w:rFonts w:ascii="Arial" w:hAnsi="Arial" w:cs="Arial"/>
          <w:sz w:val="20"/>
          <w:szCs w:val="20"/>
        </w:rPr>
      </w:pPr>
    </w:p>
    <w:bookmarkEnd w:id="0"/>
    <w:p w:rsidR="005541F0" w:rsidRPr="009504A4" w:rsidRDefault="005541F0">
      <w:pPr>
        <w:pStyle w:val="Standard"/>
        <w:ind w:left="567" w:right="284"/>
        <w:rPr>
          <w:rFonts w:ascii="Arial" w:hAnsi="Arial" w:cs="Arial"/>
          <w:b/>
          <w:i/>
          <w:sz w:val="20"/>
          <w:szCs w:val="20"/>
        </w:rPr>
      </w:pPr>
    </w:p>
    <w:sectPr w:rsidR="005541F0" w:rsidRPr="009504A4">
      <w:pgSz w:w="16838" w:h="11906" w:orient="landscape"/>
      <w:pgMar w:top="0" w:right="0" w:bottom="0" w:left="0" w:header="720" w:footer="720"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9B" w:rsidRDefault="004E11A4">
      <w:r>
        <w:separator/>
      </w:r>
    </w:p>
  </w:endnote>
  <w:endnote w:type="continuationSeparator" w:id="0">
    <w:p w:rsidR="00535D9B" w:rsidRDefault="004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Yu Gothic"/>
    <w:charset w:val="8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9B" w:rsidRDefault="004E11A4">
      <w:r>
        <w:rPr>
          <w:color w:val="000000"/>
        </w:rPr>
        <w:ptab w:relativeTo="margin" w:alignment="center" w:leader="none"/>
      </w:r>
    </w:p>
  </w:footnote>
  <w:footnote w:type="continuationSeparator" w:id="0">
    <w:p w:rsidR="00535D9B" w:rsidRDefault="004E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F0"/>
    <w:rsid w:val="004E11A4"/>
    <w:rsid w:val="00535D9B"/>
    <w:rsid w:val="005541F0"/>
    <w:rsid w:val="007D1BAB"/>
    <w:rsid w:val="00950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CC7A9-A11B-4A5E-8EB5-F6064F36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character" w:customStyle="1" w:styleId="Fontepargpadro2">
    <w:name w:val="Fonte parág. padrão2"/>
    <w:rsid w:val="004E11A4"/>
  </w:style>
  <w:style w:type="character" w:customStyle="1" w:styleId="Fontepargpadro1">
    <w:name w:val="Fonte parág. padrão1"/>
    <w:rsid w:val="004E11A4"/>
  </w:style>
  <w:style w:type="paragraph" w:customStyle="1" w:styleId="Ttulo10">
    <w:name w:val="Título1"/>
    <w:basedOn w:val="Normal"/>
    <w:next w:val="Corpodetexto"/>
    <w:rsid w:val="004E11A4"/>
    <w:pPr>
      <w:keepNext/>
      <w:widowControl/>
      <w:autoSpaceDN/>
      <w:spacing w:before="240" w:after="120"/>
      <w:textAlignment w:val="center"/>
    </w:pPr>
    <w:rPr>
      <w:rFonts w:ascii="Liberation Sans" w:eastAsia="Microsoft YaHei" w:hAnsi="Liberation Sans" w:cs="Lucida Sans"/>
      <w:kern w:val="0"/>
      <w:sz w:val="28"/>
      <w:szCs w:val="28"/>
      <w:lang w:bidi="ar-SA"/>
    </w:rPr>
  </w:style>
  <w:style w:type="paragraph" w:styleId="Corpodetexto">
    <w:name w:val="Body Text"/>
    <w:basedOn w:val="Normal"/>
    <w:link w:val="CorpodetextoChar"/>
    <w:rsid w:val="004E11A4"/>
    <w:pPr>
      <w:widowControl/>
      <w:autoSpaceDN/>
      <w:spacing w:after="120"/>
      <w:textAlignment w:val="center"/>
    </w:pPr>
    <w:rPr>
      <w:rFonts w:eastAsia="Times New Roman" w:cs="Times New Roman"/>
      <w:kern w:val="0"/>
      <w:lang w:bidi="ar-SA"/>
    </w:rPr>
  </w:style>
  <w:style w:type="character" w:customStyle="1" w:styleId="CorpodetextoChar">
    <w:name w:val="Corpo de texto Char"/>
    <w:basedOn w:val="Fontepargpadro"/>
    <w:link w:val="Corpodetexto"/>
    <w:rsid w:val="004E11A4"/>
    <w:rPr>
      <w:rFonts w:eastAsia="Times New Roman" w:cs="Times New Roman"/>
      <w:kern w:val="0"/>
      <w:lang w:bidi="ar-SA"/>
    </w:rPr>
  </w:style>
  <w:style w:type="paragraph" w:customStyle="1" w:styleId="ndice">
    <w:name w:val="Índice"/>
    <w:basedOn w:val="Normal"/>
    <w:rsid w:val="004E11A4"/>
    <w:pPr>
      <w:widowControl/>
      <w:suppressLineNumbers/>
      <w:autoSpaceDN/>
      <w:textAlignment w:val="center"/>
    </w:pPr>
    <w:rPr>
      <w:rFonts w:eastAsia="Times New Roman" w:cs="Lucida Sans"/>
      <w:kern w:val="0"/>
      <w:lang w:bidi="ar-SA"/>
    </w:rPr>
  </w:style>
  <w:style w:type="paragraph" w:customStyle="1" w:styleId="xl48">
    <w:name w:val="xl48"/>
    <w:basedOn w:val="Normal"/>
    <w:rsid w:val="004E11A4"/>
    <w:pPr>
      <w:widowControl/>
      <w:autoSpaceDN/>
      <w:spacing w:before="280" w:after="280"/>
      <w:jc w:val="center"/>
      <w:textAlignment w:val="center"/>
    </w:pPr>
    <w:rPr>
      <w:rFonts w:eastAsia="Arial Unicode MS" w:cs="Times New Roman"/>
      <w:kern w:val="0"/>
      <w:lang w:bidi="ar-SA"/>
    </w:rPr>
  </w:style>
  <w:style w:type="paragraph" w:customStyle="1" w:styleId="TableHeading">
    <w:name w:val="Table Heading"/>
    <w:basedOn w:val="TableContents"/>
    <w:rsid w:val="004E11A4"/>
    <w:pPr>
      <w:widowControl/>
      <w:suppressLineNumbers/>
      <w:autoSpaceDN/>
      <w:spacing w:after="0"/>
      <w:jc w:val="center"/>
      <w:textAlignment w:val="center"/>
    </w:pPr>
    <w:rPr>
      <w:rFonts w:eastAsia="Times New Roman" w:cs="Times New Roman"/>
      <w:b/>
      <w:bCs/>
      <w:kern w:val="0"/>
      <w:lang w:bidi="ar-SA"/>
    </w:rPr>
  </w:style>
  <w:style w:type="paragraph" w:customStyle="1" w:styleId="HeaderandFooter">
    <w:name w:val="Header and Footer"/>
    <w:basedOn w:val="Normal"/>
    <w:rsid w:val="004E11A4"/>
    <w:pPr>
      <w:widowControl/>
      <w:suppressLineNumbers/>
      <w:tabs>
        <w:tab w:val="center" w:pos="4819"/>
        <w:tab w:val="right" w:pos="9638"/>
      </w:tabs>
      <w:autoSpaceDN/>
      <w:textAlignment w:val="center"/>
    </w:pPr>
    <w:rPr>
      <w:rFonts w:eastAsia="Times New Roman" w:cs="Times New Roman"/>
      <w:kern w:val="0"/>
      <w:lang w:bidi="ar-SA"/>
    </w:rPr>
  </w:style>
  <w:style w:type="paragraph" w:customStyle="1" w:styleId="CabealhoeRodap">
    <w:name w:val="Cabeçalho e Rodapé"/>
    <w:basedOn w:val="Normal"/>
    <w:rsid w:val="004E11A4"/>
    <w:pPr>
      <w:widowControl/>
      <w:suppressLineNumbers/>
      <w:tabs>
        <w:tab w:val="center" w:pos="4819"/>
        <w:tab w:val="right" w:pos="9638"/>
      </w:tabs>
      <w:autoSpaceDN/>
      <w:textAlignment w:val="center"/>
    </w:pPr>
    <w:rPr>
      <w:rFonts w:eastAsia="Times New Roman" w:cs="Times New Roman"/>
      <w:kern w:val="0"/>
      <w:lang w:bidi="ar-SA"/>
    </w:rPr>
  </w:style>
  <w:style w:type="paragraph" w:customStyle="1" w:styleId="Contedodatabela">
    <w:name w:val="Conteúdo da tabela"/>
    <w:basedOn w:val="Normal"/>
    <w:rsid w:val="004E11A4"/>
    <w:pPr>
      <w:suppressLineNumbers/>
      <w:autoSpaceDN/>
      <w:textAlignment w:val="center"/>
    </w:pPr>
    <w:rPr>
      <w:rFonts w:eastAsia="Times New Roman" w:cs="Times New Roman"/>
      <w:kern w:val="0"/>
      <w:lang w:bidi="ar-SA"/>
    </w:rPr>
  </w:style>
  <w:style w:type="paragraph" w:customStyle="1" w:styleId="Ttulodetabela">
    <w:name w:val="Título de tabela"/>
    <w:basedOn w:val="Contedodatabela"/>
    <w:rsid w:val="004E11A4"/>
    <w:pPr>
      <w:jc w:val="center"/>
    </w:pPr>
    <w:rPr>
      <w:b/>
      <w:bCs/>
    </w:rPr>
  </w:style>
  <w:style w:type="paragraph" w:customStyle="1" w:styleId="EMPTYCELLSTYLE">
    <w:name w:val="EMPTY_CELL_STYLE"/>
    <w:rsid w:val="004E11A4"/>
    <w:pPr>
      <w:widowControl/>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14342</Words>
  <Characters>77452</Characters>
  <Application>Microsoft Office Word</Application>
  <DocSecurity>4</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2023-10-16T13:28:00Z</dcterms:created>
  <dcterms:modified xsi:type="dcterms:W3CDTF">2023-10-16T13:28:00Z</dcterms:modified>
</cp:coreProperties>
</file>