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27" w:rsidRPr="009539A9" w:rsidRDefault="00930327">
      <w:pPr>
        <w:pStyle w:val="Textbody"/>
        <w:rPr>
          <w:rFonts w:ascii="Arial" w:hAnsi="Arial" w:cs="Arial"/>
          <w:sz w:val="20"/>
          <w:szCs w:val="20"/>
        </w:rPr>
      </w:pPr>
      <w:bookmarkStart w:id="0" w:name="_GoBack"/>
    </w:p>
    <w:p w:rsidR="00930327" w:rsidRPr="009539A9" w:rsidRDefault="006B191C">
      <w:pPr>
        <w:pStyle w:val="Textbody"/>
        <w:spacing w:before="567" w:after="0"/>
        <w:ind w:left="680"/>
        <w:rPr>
          <w:rFonts w:ascii="Arial" w:hAnsi="Arial" w:cs="Arial"/>
          <w:sz w:val="20"/>
          <w:szCs w:val="20"/>
        </w:rPr>
      </w:pPr>
      <w:r w:rsidRPr="009539A9">
        <w:rPr>
          <w:rFonts w:ascii="Arial" w:hAnsi="Arial" w:cs="Arial"/>
          <w:sz w:val="20"/>
          <w:szCs w:val="20"/>
        </w:rPr>
        <w:t>EMI n</w:t>
      </w:r>
      <w:r w:rsidRPr="009539A9">
        <w:rPr>
          <w:rFonts w:ascii="Arial" w:hAnsi="Arial" w:cs="Arial"/>
          <w:strike/>
          <w:sz w:val="20"/>
          <w:szCs w:val="20"/>
        </w:rPr>
        <w:t>º</w:t>
      </w:r>
      <w:r w:rsidRPr="009539A9">
        <w:rPr>
          <w:rFonts w:ascii="Arial" w:hAnsi="Arial" w:cs="Arial"/>
          <w:sz w:val="20"/>
          <w:szCs w:val="20"/>
        </w:rPr>
        <w:t xml:space="preserve"> 00179/2023 MF MDIC</w:t>
      </w:r>
    </w:p>
    <w:p w:rsidR="00930327" w:rsidRPr="009539A9" w:rsidRDefault="006B191C">
      <w:pPr>
        <w:pStyle w:val="Textbody"/>
        <w:rPr>
          <w:rFonts w:ascii="Arial" w:hAnsi="Arial" w:cs="Arial"/>
          <w:sz w:val="20"/>
          <w:szCs w:val="20"/>
        </w:rPr>
      </w:pPr>
      <w:r w:rsidRPr="009539A9">
        <w:rPr>
          <w:rFonts w:ascii="Arial" w:hAnsi="Arial" w:cs="Arial"/>
          <w:sz w:val="20"/>
          <w:szCs w:val="20"/>
        </w:rPr>
        <w:t> </w:t>
      </w:r>
    </w:p>
    <w:p w:rsidR="00930327" w:rsidRPr="009539A9" w:rsidRDefault="006B191C">
      <w:pPr>
        <w:pStyle w:val="PreformattedText"/>
        <w:spacing w:after="1701"/>
        <w:jc w:val="right"/>
        <w:rPr>
          <w:rFonts w:ascii="Arial" w:hAnsi="Arial" w:cs="Arial"/>
        </w:rPr>
      </w:pPr>
      <w:r w:rsidRPr="009539A9">
        <w:rPr>
          <w:rFonts w:ascii="Arial" w:hAnsi="Arial" w:cs="Arial"/>
        </w:rPr>
        <w:t>Brasília, 30 de Dezembro de 2023</w:t>
      </w:r>
    </w:p>
    <w:p w:rsidR="00930327" w:rsidRPr="009539A9" w:rsidRDefault="006B191C">
      <w:pPr>
        <w:pStyle w:val="Textbody"/>
        <w:spacing w:before="113" w:after="567"/>
        <w:ind w:firstLine="1134"/>
        <w:rPr>
          <w:rFonts w:ascii="Arial" w:hAnsi="Arial" w:cs="Arial"/>
          <w:sz w:val="20"/>
          <w:szCs w:val="20"/>
        </w:rPr>
      </w:pPr>
      <w:r w:rsidRPr="009539A9">
        <w:rPr>
          <w:rFonts w:ascii="Arial" w:hAnsi="Arial" w:cs="Arial"/>
          <w:sz w:val="20"/>
          <w:szCs w:val="20"/>
        </w:rPr>
        <w:t>Senhor Presidente da República,</w:t>
      </w:r>
    </w:p>
    <w:p w:rsidR="00930327" w:rsidRPr="009539A9" w:rsidRDefault="006B191C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9539A9">
        <w:rPr>
          <w:rFonts w:ascii="Arial" w:hAnsi="Arial" w:cs="Arial"/>
          <w:sz w:val="20"/>
          <w:szCs w:val="20"/>
        </w:rPr>
        <w:t>1.                Submetemos à sua apreciação Projeto de Lei que autoriza condições diferenciadas de depreciação acelerada para máquinas, equipamentos, aparelhos e instrumentos, novos, destinados ao ativo imobilizado de determinadas atividades econômicas.</w:t>
      </w:r>
    </w:p>
    <w:p w:rsidR="00930327" w:rsidRPr="009539A9" w:rsidRDefault="006B191C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9539A9">
        <w:rPr>
          <w:rFonts w:ascii="Arial" w:hAnsi="Arial" w:cs="Arial"/>
          <w:sz w:val="20"/>
          <w:szCs w:val="20"/>
        </w:rPr>
        <w:t>2.                A proposta possibilita que o Poder Executivo, mediante decreto, autorize condições diferenciadas de depreciação acelerada para máquinas, equipamentos, aparelhos e instrumentos, novos, adquiridos entre 1º de janeiro de 2024 e 31 de dezembro de 2024, destinados ao ativo imobilizado de determinadas atividades econômicas e empregados na atividade empresarial do adquirente. Poderão ser objeto de depreciação acelerada bens de capital do ativo não circulante classificados como imobilizado e sujeitos a desgaste pelo uso ou por causas naturais ou obsolescência normal.</w:t>
      </w:r>
    </w:p>
    <w:p w:rsidR="00930327" w:rsidRPr="009539A9" w:rsidRDefault="006B191C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9539A9">
        <w:rPr>
          <w:rFonts w:ascii="Arial" w:hAnsi="Arial" w:cs="Arial"/>
          <w:sz w:val="20"/>
          <w:szCs w:val="20"/>
        </w:rPr>
        <w:t>3.                A proposta objetiva estimular os investimentos em máquinas e equipamentos, ativos essenciais para a produção, incentivando a modernização e renovação de processos produtivos, e resultando em menor custo de produção, maior eficiência, produtividade e competitividade nacional e internacional, impulsionando o crescimento econômico do País.</w:t>
      </w:r>
    </w:p>
    <w:p w:rsidR="00930327" w:rsidRPr="009539A9" w:rsidRDefault="006B191C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9539A9">
        <w:rPr>
          <w:rFonts w:ascii="Arial" w:hAnsi="Arial" w:cs="Arial"/>
          <w:sz w:val="20"/>
          <w:szCs w:val="20"/>
        </w:rPr>
        <w:t>4.                Para tanto, será admitida, no cálculo do Imposto de Renda da Pessoa Jurídica e da Contribuição Social sobre Lucro Líquido, para os bens incorporados ao ativo imobilizado do adquirente, a depreciação de até 50% (cinquenta por cento) do valor dos referidos bens no ano em que o bem é instalado, posto em serviço ou em condições de produzir e até 50% (cinquenta por cento) no ano seguinte ao em que o bem é instalado, posto em serviço ou em condições de produzir, para bens adquiridos entre 1º e janeiro de 2024 e 31 de dezembro de 2024.</w:t>
      </w:r>
    </w:p>
    <w:p w:rsidR="00930327" w:rsidRPr="009539A9" w:rsidRDefault="006B191C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9539A9">
        <w:rPr>
          <w:rFonts w:ascii="Arial" w:hAnsi="Arial" w:cs="Arial"/>
          <w:sz w:val="20"/>
          <w:szCs w:val="20"/>
        </w:rPr>
        <w:t xml:space="preserve">5.                Em cumprimento ao disposto no inciso I do art. 14 da Lei Complementar nº 101, de 4 de maio de 2000, Lei de Responsabilidade Fiscal (LRF), cabe informar que a medida em tela tem renúncia estimada de R$ 1,7 bilhão em 2024 e de mesmo valor em 2025. O referido impacto em 2024 será compensado por meio de decisão da Câmara de Comércio Exterior de dezembro de 2023 de elevação da alíquota do </w:t>
      </w:r>
      <w:r w:rsidRPr="009539A9">
        <w:rPr>
          <w:rFonts w:ascii="Arial" w:hAnsi="Arial" w:cs="Arial"/>
          <w:sz w:val="20"/>
          <w:szCs w:val="20"/>
        </w:rPr>
        <w:lastRenderedPageBreak/>
        <w:t>Imposto de Importação para placas fotovoltaicas, retirando-as da Lista de Exceções à Tarifa Externa Comum do Mercosul (LEBIT/BK) e elevando a alíquota de 6% para 10,8%. Por fim, todos os ex-tarifários de placas solares serão revogados, com a aprovação de quotas para importação com alíquota 0% como mecanismo de desabastecimento, resultando em um saldo de arrecadação adicional. Para 2025, a renúncia será prevista no Projeto de Lei Orçamentária Anual. Posteriormente, mediante a apresentação de outras fontes de compensação, o Poder Executivo poderá, por Decreto, ampliar o rol de atividades econômicas contempladas pela medida.</w:t>
      </w:r>
    </w:p>
    <w:p w:rsidR="00930327" w:rsidRPr="009539A9" w:rsidRDefault="006B191C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9539A9">
        <w:rPr>
          <w:rFonts w:ascii="Arial" w:hAnsi="Arial" w:cs="Arial"/>
          <w:sz w:val="20"/>
          <w:szCs w:val="20"/>
        </w:rPr>
        <w:t>6.                Os impactos estimados refletem a mudança no fluxo de receitas tributárias devido à aceleração da depreciação desses ativos para um conjunto mínimo de setores econômicos. Além disso, a Lei prevê a possibilidade de expansão futura da sua abrangência, com a inclusão de mais setores por decreto, mediante a devida compensação prevista na LRF. Dessa forma, desde que cumpridas as regras fiscais, o Poder Executivo tem a prerrogativa de, por meio de Decreto, ampliar o rol de atividades econômicas beneficiadas pela medida. Essa flexibilidade assegura que a medida possa ser adaptada e expandida para atender às necessidades dinâmicas da economia, promovendo o crescimento e a inovação em mais setores.</w:t>
      </w:r>
    </w:p>
    <w:p w:rsidR="00930327" w:rsidRPr="009539A9" w:rsidRDefault="006B191C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9539A9">
        <w:rPr>
          <w:rFonts w:ascii="Arial" w:hAnsi="Arial" w:cs="Arial"/>
          <w:sz w:val="20"/>
          <w:szCs w:val="20"/>
        </w:rPr>
        <w:t>7.                Ato do Poder Executivo disporá sobre o âmbito de aplicação da medida, no que concerne às atividades econômicas abrangidas pelas condições diferenciadas de depreciação acelerada e aos requisitos obrigatórios para promoção da indústria nacional e a agregação de valor no País a serem cumpridos pelos bens elegíveis. O Poder Executivo poderá definir requisitos obrigatórios para promoção da indústria nacional e a agregação de valor no País a serem cumpridos por atividades econômicas específicas.</w:t>
      </w:r>
    </w:p>
    <w:p w:rsidR="00930327" w:rsidRPr="009539A9" w:rsidRDefault="006B191C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9539A9">
        <w:rPr>
          <w:rFonts w:ascii="Arial" w:hAnsi="Arial" w:cs="Arial"/>
          <w:sz w:val="20"/>
          <w:szCs w:val="20"/>
        </w:rPr>
        <w:t>8.                A urgência e a relevância da medida decorrem da necessidade de estimular a taxa de investimentos no País, representada pela razão entre a Formação Bruta de Capital Fixo e o Produto Interno Bruto, que atingiu 15,7% no primeiro trimestre de 2023, na série a valores correntes, resultado abaixo da taxa de investimento média mensal considerando tanto o período desde 2000 (18,0%) quanto desde o 1º trimestre de 2015 (16,6%), desempenho insuficiente para alavancar consistentemente o crescimento econômico. Ademais, a tramitação ordinária por meio de projeto de lei poderia gerar expectativas incertas no mercado, inclusive quanto ao escopo e abrangência, levando ao adiamento de parte dos investimentos por empresas que aguardam a aprovação da medida, postura contrária ao próprio objetivo da norma de estimular os investimentos.</w:t>
      </w:r>
    </w:p>
    <w:p w:rsidR="00930327" w:rsidRPr="009539A9" w:rsidRDefault="006B191C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9539A9">
        <w:rPr>
          <w:rFonts w:ascii="Arial" w:hAnsi="Arial" w:cs="Arial"/>
          <w:sz w:val="20"/>
          <w:szCs w:val="20"/>
        </w:rPr>
        <w:t>9.                Essas, Senhor Presidente, são as razões que justificam a elaboração do Projeto de Lei que ora submetemos a sua apreciação.</w:t>
      </w:r>
    </w:p>
    <w:p w:rsidR="00930327" w:rsidRPr="009539A9" w:rsidRDefault="00930327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:rsidR="00930327" w:rsidRPr="009539A9" w:rsidRDefault="006B191C">
      <w:pPr>
        <w:pStyle w:val="Textbody"/>
        <w:spacing w:after="1417"/>
        <w:ind w:firstLine="1134"/>
        <w:rPr>
          <w:rFonts w:ascii="Arial" w:hAnsi="Arial" w:cs="Arial"/>
          <w:sz w:val="20"/>
          <w:szCs w:val="20"/>
        </w:rPr>
      </w:pPr>
      <w:r w:rsidRPr="009539A9">
        <w:rPr>
          <w:rFonts w:ascii="Arial" w:hAnsi="Arial" w:cs="Arial"/>
          <w:sz w:val="20"/>
          <w:szCs w:val="20"/>
        </w:rPr>
        <w:t>Respeitosamente,</w:t>
      </w:r>
    </w:p>
    <w:p w:rsidR="00930327" w:rsidRPr="009539A9" w:rsidRDefault="00930327">
      <w:pPr>
        <w:pStyle w:val="Textbody"/>
        <w:spacing w:after="0"/>
        <w:jc w:val="center"/>
        <w:rPr>
          <w:rFonts w:ascii="Arial" w:hAnsi="Arial" w:cs="Arial"/>
          <w:sz w:val="20"/>
          <w:szCs w:val="20"/>
        </w:rPr>
      </w:pPr>
    </w:p>
    <w:p w:rsidR="00930327" w:rsidRPr="009539A9" w:rsidRDefault="006B191C">
      <w:pPr>
        <w:pStyle w:val="Textbody"/>
        <w:rPr>
          <w:rFonts w:ascii="Arial" w:hAnsi="Arial" w:cs="Arial"/>
          <w:sz w:val="20"/>
          <w:szCs w:val="20"/>
        </w:rPr>
      </w:pPr>
      <w:r w:rsidRPr="009539A9">
        <w:rPr>
          <w:rFonts w:ascii="Arial" w:hAnsi="Arial" w:cs="Arial"/>
          <w:sz w:val="20"/>
          <w:szCs w:val="20"/>
        </w:rPr>
        <w:t> </w:t>
      </w:r>
    </w:p>
    <w:p w:rsidR="00930327" w:rsidRPr="009539A9" w:rsidRDefault="006B191C">
      <w:pPr>
        <w:pStyle w:val="Textbody"/>
        <w:rPr>
          <w:rFonts w:ascii="Arial" w:hAnsi="Arial" w:cs="Arial"/>
          <w:sz w:val="20"/>
          <w:szCs w:val="20"/>
        </w:rPr>
      </w:pPr>
      <w:r w:rsidRPr="009539A9">
        <w:rPr>
          <w:rFonts w:ascii="Arial" w:hAnsi="Arial" w:cs="Arial"/>
          <w:sz w:val="20"/>
          <w:szCs w:val="20"/>
        </w:rPr>
        <w:t> </w:t>
      </w:r>
    </w:p>
    <w:p w:rsidR="00930327" w:rsidRPr="009539A9" w:rsidRDefault="0093032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930327" w:rsidRPr="009539A9" w:rsidRDefault="0093032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930327" w:rsidRPr="009539A9" w:rsidRDefault="0093032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930327" w:rsidRPr="009539A9" w:rsidRDefault="0093032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930327" w:rsidRPr="009539A9" w:rsidRDefault="0093032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930327" w:rsidRPr="009539A9" w:rsidRDefault="0093032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930327" w:rsidRPr="009539A9" w:rsidRDefault="0093032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930327" w:rsidRPr="009539A9" w:rsidRDefault="0093032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930327" w:rsidRPr="009539A9" w:rsidRDefault="0093032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930327" w:rsidRPr="009539A9" w:rsidRDefault="0093032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930327" w:rsidRPr="009539A9" w:rsidRDefault="0093032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930327" w:rsidRPr="009539A9" w:rsidRDefault="0093032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930327" w:rsidRPr="009539A9" w:rsidRDefault="0093032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930327" w:rsidRPr="009539A9" w:rsidRDefault="006B191C" w:rsidP="00034B1A">
      <w:pPr>
        <w:pStyle w:val="Standard"/>
        <w:ind w:left="567" w:right="284"/>
        <w:rPr>
          <w:rFonts w:ascii="Arial" w:hAnsi="Arial" w:cs="Arial"/>
          <w:sz w:val="20"/>
          <w:szCs w:val="20"/>
        </w:rPr>
      </w:pPr>
      <w:r w:rsidRPr="009539A9">
        <w:rPr>
          <w:rFonts w:ascii="Arial" w:hAnsi="Arial" w:cs="Arial"/>
          <w:b/>
          <w:i/>
          <w:sz w:val="20"/>
          <w:szCs w:val="20"/>
        </w:rPr>
        <w:t>Assinado eletronicamente por: Fernando Haddad, Geraldo Jose Rodrigues Alckmin Filho</w:t>
      </w:r>
      <w:bookmarkEnd w:id="0"/>
    </w:p>
    <w:sectPr w:rsidR="00930327" w:rsidRPr="009539A9" w:rsidSect="006B191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FEE" w:rsidRDefault="006B191C">
      <w:r>
        <w:separator/>
      </w:r>
    </w:p>
  </w:endnote>
  <w:endnote w:type="continuationSeparator" w:id="0">
    <w:p w:rsidR="004C6FEE" w:rsidRDefault="006B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</w:font>
  <w:font w:name="Thorndale"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FEE" w:rsidRDefault="006B191C">
      <w:r>
        <w:rPr>
          <w:color w:val="000000"/>
        </w:rPr>
        <w:separator/>
      </w:r>
    </w:p>
  </w:footnote>
  <w:footnote w:type="continuationSeparator" w:id="0">
    <w:p w:rsidR="004C6FEE" w:rsidRDefault="006B1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27"/>
    <w:rsid w:val="00034B1A"/>
    <w:rsid w:val="004C6FEE"/>
    <w:rsid w:val="006B191C"/>
    <w:rsid w:val="00930327"/>
    <w:rsid w:val="0095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EF54E-38EC-415B-9F7F-D32EA1A6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814</Words>
  <Characters>4400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</dc:creator>
  <cp:lastModifiedBy>Edvaldo Luiz da Silva</cp:lastModifiedBy>
  <cp:revision>2</cp:revision>
  <dcterms:created xsi:type="dcterms:W3CDTF">2024-01-05T14:42:00Z</dcterms:created>
  <dcterms:modified xsi:type="dcterms:W3CDTF">2024-01-05T14:42:00Z</dcterms:modified>
</cp:coreProperties>
</file>