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B2" w:rsidRDefault="002C51B2" w:rsidP="002C51B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</w:p>
    <w:p w:rsidR="002C51B2" w:rsidRPr="002C51B2" w:rsidRDefault="002C51B2" w:rsidP="002C51B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bookmarkEnd w:id="0"/>
      <w:r w:rsidRPr="002C51B2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Decreto-Lei nº 645, de 23 de Junho de 1969</w:t>
      </w:r>
    </w:p>
    <w:p w:rsidR="002C51B2" w:rsidRPr="002C51B2" w:rsidRDefault="002C51B2" w:rsidP="002C51B2">
      <w:pPr>
        <w:spacing w:before="100" w:beforeAutospacing="1" w:after="100" w:afterAutospacing="1" w:line="240" w:lineRule="auto"/>
        <w:ind w:left="3540"/>
        <w:rPr>
          <w:rFonts w:ascii="Arial" w:eastAsia="Times New Roman" w:hAnsi="Arial" w:cs="Arial"/>
          <w:sz w:val="20"/>
          <w:szCs w:val="20"/>
          <w:lang w:eastAsia="pt-BR"/>
        </w:rPr>
      </w:pPr>
      <w:r w:rsidRPr="002C51B2">
        <w:rPr>
          <w:rFonts w:ascii="Arial" w:eastAsia="Times New Roman" w:hAnsi="Arial" w:cs="Arial"/>
          <w:sz w:val="20"/>
          <w:szCs w:val="20"/>
          <w:lang w:eastAsia="pt-BR"/>
        </w:rPr>
        <w:t xml:space="preserve">Altera percentagens de incidência das cotas de previdência que indica. </w:t>
      </w:r>
    </w:p>
    <w:p w:rsidR="002C51B2" w:rsidRPr="002C51B2" w:rsidRDefault="002C51B2" w:rsidP="002C51B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C51B2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24 de junho de 1969).</w:t>
      </w:r>
    </w:p>
    <w:p w:rsidR="002C51B2" w:rsidRPr="002C51B2" w:rsidRDefault="002C51B2" w:rsidP="002C51B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C51B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2C51B2" w:rsidRPr="002C51B2" w:rsidRDefault="002C51B2" w:rsidP="002C51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C51B2">
        <w:rPr>
          <w:rFonts w:ascii="Arial" w:eastAsia="Times New Roman" w:hAnsi="Arial" w:cs="Arial"/>
          <w:sz w:val="20"/>
          <w:szCs w:val="20"/>
          <w:lang w:eastAsia="pt-BR"/>
        </w:rPr>
        <w:t>Na 1ª página, na 4ª coluna, no parágrafo 1º do artigo 1º,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onde se lê</w:t>
      </w:r>
      <w:r w:rsidRPr="002C51B2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2C51B2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2C51B2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2C51B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2C51B2">
        <w:rPr>
          <w:rFonts w:ascii="Arial" w:eastAsia="Times New Roman" w:hAnsi="Arial" w:cs="Arial"/>
          <w:sz w:val="20"/>
          <w:szCs w:val="20"/>
          <w:lang w:eastAsia="pt-BR"/>
        </w:rPr>
        <w:t>nas</w:t>
      </w:r>
      <w:proofErr w:type="gramEnd"/>
      <w:r w:rsidRPr="002C51B2">
        <w:rPr>
          <w:rFonts w:ascii="Arial" w:eastAsia="Times New Roman" w:hAnsi="Arial" w:cs="Arial"/>
          <w:sz w:val="20"/>
          <w:szCs w:val="20"/>
          <w:lang w:eastAsia="pt-BR"/>
        </w:rPr>
        <w:t xml:space="preserve"> alíneas b e h do artigo 166, ...</w:t>
      </w:r>
    </w:p>
    <w:p w:rsidR="002C51B2" w:rsidRPr="002C51B2" w:rsidRDefault="002C51B2" w:rsidP="002C51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Leia-se</w:t>
      </w:r>
      <w:r w:rsidRPr="002C51B2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2C51B2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2C51B2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2C51B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2C51B2">
        <w:rPr>
          <w:rFonts w:ascii="Arial" w:eastAsia="Times New Roman" w:hAnsi="Arial" w:cs="Arial"/>
          <w:sz w:val="20"/>
          <w:szCs w:val="20"/>
          <w:lang w:eastAsia="pt-BR"/>
        </w:rPr>
        <w:t>nas</w:t>
      </w:r>
      <w:proofErr w:type="gramEnd"/>
      <w:r w:rsidRPr="002C51B2">
        <w:rPr>
          <w:rFonts w:ascii="Arial" w:eastAsia="Times New Roman" w:hAnsi="Arial" w:cs="Arial"/>
          <w:sz w:val="20"/>
          <w:szCs w:val="20"/>
          <w:lang w:eastAsia="pt-BR"/>
        </w:rPr>
        <w:t xml:space="preserve"> alíneas b a h do artigo 166, ...</w:t>
      </w:r>
    </w:p>
    <w:p w:rsidR="002C51B2" w:rsidRPr="002C51B2" w:rsidRDefault="002C51B2" w:rsidP="002C51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114E8" w:rsidRPr="002C51B2" w:rsidRDefault="009114E8">
      <w:pPr>
        <w:rPr>
          <w:rFonts w:ascii="Arial" w:hAnsi="Arial" w:cs="Arial"/>
          <w:sz w:val="20"/>
          <w:szCs w:val="20"/>
        </w:rPr>
      </w:pPr>
    </w:p>
    <w:sectPr w:rsidR="009114E8" w:rsidRPr="002C51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B2"/>
    <w:rsid w:val="002C51B2"/>
    <w:rsid w:val="0091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C5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51B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2C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C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5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C5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51B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2C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C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5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2013-08-21T13:17:00Z</dcterms:created>
  <dcterms:modified xsi:type="dcterms:W3CDTF">2013-08-21T13:19:00Z</dcterms:modified>
</cp:coreProperties>
</file>