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AE52F" w14:textId="77777777" w:rsidR="00483E48" w:rsidRDefault="00483E48">
      <w:pPr>
        <w:pStyle w:val="Textbody"/>
      </w:pPr>
    </w:p>
    <w:p w14:paraId="495729C5" w14:textId="77777777" w:rsidR="00483E48" w:rsidRDefault="00AA0109">
      <w:pPr>
        <w:pStyle w:val="Textbody"/>
        <w:spacing w:before="567" w:after="0"/>
        <w:ind w:left="680"/>
      </w:pPr>
      <w:r>
        <w:t>EM n</w:t>
      </w:r>
      <w:r>
        <w:rPr>
          <w:strike/>
        </w:rPr>
        <w:t>º</w:t>
      </w:r>
      <w:r>
        <w:t xml:space="preserve"> 00060/2024 MF</w:t>
      </w:r>
    </w:p>
    <w:p w14:paraId="2FEA4169" w14:textId="77777777" w:rsidR="00483E48" w:rsidRDefault="00AA0109">
      <w:pPr>
        <w:pStyle w:val="Textbody"/>
      </w:pPr>
      <w:r>
        <w:t> </w:t>
      </w:r>
    </w:p>
    <w:p w14:paraId="48DC20A0" w14:textId="77777777" w:rsidR="00483E48" w:rsidRDefault="00AA0109">
      <w:pPr>
        <w:pStyle w:val="PreformattedText"/>
        <w:spacing w:after="170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Brasília, 29 de Maio de 2024</w:t>
      </w:r>
    </w:p>
    <w:p w14:paraId="3FDC7EE7" w14:textId="77777777" w:rsidR="00483E48" w:rsidRDefault="00AA0109">
      <w:pPr>
        <w:pStyle w:val="Textbody"/>
        <w:spacing w:before="113" w:after="567"/>
        <w:ind w:firstLine="1134"/>
      </w:pPr>
      <w:r>
        <w:t>Senhor Presidente da República,</w:t>
      </w:r>
    </w:p>
    <w:p w14:paraId="08FD4986" w14:textId="6DC0CDBC" w:rsidR="00483E48" w:rsidRDefault="00AA0109">
      <w:pPr>
        <w:pStyle w:val="Textbody"/>
        <w:spacing w:after="200"/>
        <w:ind w:firstLine="1134"/>
        <w:jc w:val="both"/>
      </w:pPr>
      <w:r>
        <w:t>Encaminhamos minuta de Medida Provisória que modifica a legislação tributária federal para prever as condições para fruição de benefícios fiscais, delegar competência para julgamento de processo administrativo fiscal relativo ao ITRlimitar a compensação de</w:t>
      </w:r>
      <w:r>
        <w:t xml:space="preserve"> créditos relativos a tributos administrados pela Secretaria Especial da Receita Federal do Brasil e revogar hipóteses de ressarcimento e compensação de créditos presumidos da Contribuição para o PIS/Pasep e da Cofins.</w:t>
      </w:r>
    </w:p>
    <w:p w14:paraId="77FA58D7" w14:textId="0BC177FA" w:rsidR="00483E48" w:rsidRPr="00841A21" w:rsidRDefault="00680642" w:rsidP="00841A21">
      <w:pPr>
        <w:pStyle w:val="Textbody"/>
        <w:spacing w:after="200"/>
        <w:jc w:val="both"/>
        <w:rPr>
          <w:b/>
          <w:bCs/>
        </w:rPr>
      </w:pPr>
      <w:r>
        <w:rPr>
          <w:b/>
          <w:bCs/>
        </w:rPr>
        <w:t xml:space="preserve">I - </w:t>
      </w:r>
      <w:r w:rsidR="001B5DB3">
        <w:rPr>
          <w:b/>
          <w:bCs/>
        </w:rPr>
        <w:t>C</w:t>
      </w:r>
      <w:r w:rsidR="001B5DB3" w:rsidRPr="00841A21">
        <w:rPr>
          <w:b/>
          <w:bCs/>
        </w:rPr>
        <w:t xml:space="preserve">ondições </w:t>
      </w:r>
      <w:r w:rsidRPr="00841A21">
        <w:rPr>
          <w:b/>
          <w:bCs/>
        </w:rPr>
        <w:t>para fruição de benefícios fiscais</w:t>
      </w:r>
    </w:p>
    <w:p w14:paraId="5A2F3507" w14:textId="2DC36C9F" w:rsidR="00483E48" w:rsidRPr="00EC33A8" w:rsidRDefault="00AA0109" w:rsidP="00841A21">
      <w:pPr>
        <w:pStyle w:val="Textbody"/>
        <w:tabs>
          <w:tab w:val="left" w:pos="1134"/>
        </w:tabs>
        <w:spacing w:after="200"/>
        <w:ind w:firstLine="1134"/>
        <w:jc w:val="both"/>
      </w:pPr>
      <w:r w:rsidRPr="00EC33A8">
        <w:t xml:space="preserve">A medida em questão </w:t>
      </w:r>
      <w:r w:rsidR="001B5DB3" w:rsidRPr="00841A21">
        <w:t xml:space="preserve">foi </w:t>
      </w:r>
      <w:r w:rsidRPr="00EC33A8">
        <w:t>proposta inicialmente no Projeto de Lei nº 15, de 2024, encaminhado pelo Presidente da República ao Congresso Nacional por meio da Mensagem nº 45, de 31 de janeiro de 2024.</w:t>
      </w:r>
    </w:p>
    <w:p w14:paraId="7F367DA0" w14:textId="5876647E" w:rsidR="001B5DB3" w:rsidRPr="00841A21" w:rsidRDefault="00AA0109" w:rsidP="00841A21">
      <w:pPr>
        <w:pStyle w:val="Textbody"/>
        <w:tabs>
          <w:tab w:val="left" w:pos="1134"/>
        </w:tabs>
        <w:spacing w:after="200"/>
        <w:ind w:firstLine="1134"/>
        <w:jc w:val="both"/>
      </w:pPr>
      <w:r w:rsidRPr="00EC33A8">
        <w:t>Em razão da pertinência com as demais medidas t</w:t>
      </w:r>
      <w:r w:rsidRPr="00EC33A8">
        <w:t>ributárias emergenciais ora propostas,</w:t>
      </w:r>
      <w:r w:rsidR="001B5DB3" w:rsidRPr="00841A21">
        <w:t xml:space="preserve"> reitera-se a apresentação desse regramento relativo à fruição de benefício fiscal. Consigne-se que na oportunidade a exposição de motivos aduziu a seguinte argumentação:</w:t>
      </w:r>
    </w:p>
    <w:p w14:paraId="5FCAC973" w14:textId="77777777" w:rsidR="001B5DB3" w:rsidRDefault="001B5DB3">
      <w:pPr>
        <w:pStyle w:val="Textbody"/>
        <w:spacing w:after="200"/>
        <w:jc w:val="both"/>
        <w:rPr>
          <w:b/>
          <w:bCs/>
        </w:rPr>
      </w:pPr>
    </w:p>
    <w:p w14:paraId="28B95402" w14:textId="77777777" w:rsidR="001B5DB3" w:rsidRPr="00841A21" w:rsidRDefault="001B5DB3" w:rsidP="00841A21">
      <w:pPr>
        <w:pStyle w:val="Textbody"/>
        <w:spacing w:after="200"/>
        <w:ind w:left="1134"/>
        <w:jc w:val="both"/>
        <w:rPr>
          <w:i/>
          <w:iCs/>
        </w:rPr>
      </w:pPr>
      <w:r w:rsidRPr="00841A21">
        <w:rPr>
          <w:i/>
          <w:iCs/>
        </w:rPr>
        <w:t>54.              A Emenda Constitucional nº 109, de 15 de março de 2021, de autoria do Senado Federal, instituiu, em seu art. 4º, regras transitórias sobre redução de benefícios tributários. Determinou que o Presidente da República encaminhasse ao Congresso Nacional, em até 6 (seis) meses após a promulgação da Emenda Constitucional, plano de redução gradual do montante total dos incentivos e benefícios federais de natureza tributária até 2029. O montante dos benefícios, no prazo de 8 (oito) anos, não poderá ultrapassar 2% do Produto Interno Bruto.</w:t>
      </w:r>
    </w:p>
    <w:p w14:paraId="68D8A1B9" w14:textId="77777777" w:rsidR="001B5DB3" w:rsidRPr="00841A21" w:rsidRDefault="001B5DB3" w:rsidP="00841A21">
      <w:pPr>
        <w:pStyle w:val="Textbody"/>
        <w:spacing w:after="200"/>
        <w:ind w:left="1134"/>
        <w:jc w:val="both"/>
        <w:rPr>
          <w:i/>
          <w:iCs/>
        </w:rPr>
      </w:pPr>
      <w:r w:rsidRPr="00841A21">
        <w:rPr>
          <w:i/>
          <w:iCs/>
        </w:rPr>
        <w:t>55.              O montante atual de todos os benefícios federais está estimado em R$ 523 bilhões de reais no Projeto de Lei Orçamentária Anual - PLOA de 2024 - cerca de 4,6% do Produto Interno Bruto da proposta, ou 20,6% da projeção de arrecadação federal de R$ 2,54 trilhões. Para efeito de comparação, o PLOA de 2000 estimava o total de benefícios em R$ 18 bilhões, em valores nominais, o que representava cerca de 1,7% do Produto Interno Bruto da proposta, ou 12,2% da arrecadação federal projetada de R$ 148 bilhões. Esses gastos e seu volume constam de publicações oficiais da Secretaria Especial da Receita Federal do Brasil (Demonstrativo de Gastos Tributários - DGT).</w:t>
      </w:r>
    </w:p>
    <w:p w14:paraId="59C11D9B" w14:textId="77777777" w:rsidR="001B5DB3" w:rsidRPr="00841A21" w:rsidRDefault="001B5DB3" w:rsidP="00841A21">
      <w:pPr>
        <w:pStyle w:val="Textbody"/>
        <w:spacing w:after="200"/>
        <w:ind w:left="1134"/>
        <w:jc w:val="both"/>
        <w:rPr>
          <w:i/>
          <w:iCs/>
        </w:rPr>
      </w:pPr>
      <w:r w:rsidRPr="00841A21">
        <w:rPr>
          <w:i/>
          <w:iCs/>
        </w:rPr>
        <w:t>56.              O excessivo aumento de gastos tributários ao longo das duas últimas décadas acarretou a necessidade da criação de regras para diminuir o montante global de benefícios fiscais ao longo dos próximos anos. Em paralelo às medidas de revisão dos benefícios tributários, faz-se necessário aumentar o seu controle pela Secretaria Especial da Receita Federal do Brasil, de maneira a excluir os benefícios daqueles contribuintes que não cumprem as condições necessárias para sua manutenção. Dessa forma, preservam-se os beneficiários que observam as disposições regulamentares ao mesmo tempo em que se reduz o volume total de gastos tributários.</w:t>
      </w:r>
    </w:p>
    <w:p w14:paraId="6099B69F" w14:textId="77777777" w:rsidR="001B5DB3" w:rsidRPr="00841A21" w:rsidRDefault="001B5DB3" w:rsidP="00841A21">
      <w:pPr>
        <w:pStyle w:val="Textbody"/>
        <w:spacing w:after="200"/>
        <w:ind w:left="1134"/>
        <w:jc w:val="both"/>
        <w:rPr>
          <w:i/>
          <w:iCs/>
        </w:rPr>
      </w:pPr>
      <w:r w:rsidRPr="00841A21">
        <w:rPr>
          <w:i/>
          <w:iCs/>
        </w:rPr>
        <w:t>57.              Além disso, após a promulgação da Emenda Constitucional nº 109, de 2021, o art. 45 da Lei Complementar nº 187, de 17 de dezembro de 2021, modificou o art. 198 da Lei nº 5.172, de 25 de outubro de 1966 - Código Tributário Nacional, para acrescentar novas exceções à vedação, direcionada à Fazenda Pública, de divulgar informações sobre a situação econômica ou financeira de contribuintes e sobre a natureza e o estado de seus negócios ou atividades, o chamado sigilo fiscal.</w:t>
      </w:r>
    </w:p>
    <w:p w14:paraId="03FFE082" w14:textId="77777777" w:rsidR="001B5DB3" w:rsidRPr="00841A21" w:rsidRDefault="001B5DB3" w:rsidP="00841A21">
      <w:pPr>
        <w:pStyle w:val="Textbody"/>
        <w:spacing w:after="200"/>
        <w:ind w:left="1134"/>
        <w:jc w:val="both"/>
        <w:rPr>
          <w:i/>
          <w:iCs/>
        </w:rPr>
      </w:pPr>
      <w:r w:rsidRPr="00841A21">
        <w:rPr>
          <w:i/>
          <w:iCs/>
        </w:rPr>
        <w:t>58.              No bojo dessas mudanças, encontra-se a crescente demanda por maior controle e transparência dos gastos tributários com vistas ao atingimento do equilíbrio fiscal e ao atendimento da histórica carência de estruturas de gestão e governança, avaliação e monitoramento por parte do Poder Executivo Federal.</w:t>
      </w:r>
    </w:p>
    <w:p w14:paraId="0A54A08A" w14:textId="77777777" w:rsidR="001B5DB3" w:rsidRPr="00841A21" w:rsidRDefault="001B5DB3" w:rsidP="00841A21">
      <w:pPr>
        <w:pStyle w:val="Textbody"/>
        <w:spacing w:after="200"/>
        <w:ind w:left="1134"/>
        <w:jc w:val="both"/>
        <w:rPr>
          <w:i/>
          <w:iCs/>
        </w:rPr>
      </w:pPr>
      <w:r w:rsidRPr="00841A21">
        <w:rPr>
          <w:i/>
          <w:iCs/>
        </w:rPr>
        <w:t>59.              Diante desse quadro, a Secretaria Especial da Receita Federal do Brasil tem sido frequentemente questionada pela sociedade e pelos órgãos de controle a respeito dos resultados das políticas públicas que concedem incentivos fiscais, notadamente sobre os efeitos tributários dessas políticas, os custos gerados e os benefícios alcançados.</w:t>
      </w:r>
    </w:p>
    <w:p w14:paraId="6B9F8248" w14:textId="77777777" w:rsidR="001B5DB3" w:rsidRPr="00841A21" w:rsidRDefault="001B5DB3" w:rsidP="00841A21">
      <w:pPr>
        <w:pStyle w:val="Textbody"/>
        <w:spacing w:after="200"/>
        <w:ind w:left="1134"/>
        <w:jc w:val="both"/>
        <w:rPr>
          <w:i/>
          <w:iCs/>
        </w:rPr>
      </w:pPr>
      <w:r w:rsidRPr="00841A21">
        <w:rPr>
          <w:i/>
          <w:iCs/>
        </w:rPr>
        <w:t>60.              O Tribunal de Contas da União, inclusive, elaborou em 2022 o Referencial de Controle de Benefícios Tributários, um documento técnico que visa orientar e sistematizar a avaliação das políticas públicas implementadas mediante benefícios tributários.</w:t>
      </w:r>
    </w:p>
    <w:p w14:paraId="6155EE2E" w14:textId="77777777" w:rsidR="001B5DB3" w:rsidRPr="00841A21" w:rsidRDefault="001B5DB3" w:rsidP="00841A21">
      <w:pPr>
        <w:pStyle w:val="Textbody"/>
        <w:spacing w:after="200"/>
        <w:ind w:left="1134"/>
        <w:jc w:val="both"/>
        <w:rPr>
          <w:i/>
          <w:iCs/>
        </w:rPr>
      </w:pPr>
      <w:r w:rsidRPr="00841A21">
        <w:rPr>
          <w:i/>
          <w:iCs/>
        </w:rPr>
        <w:t>61.              Nesse contexto, o Projeto de Lei ora proposto tem como principais objetivos:</w:t>
      </w:r>
    </w:p>
    <w:p w14:paraId="389F3573" w14:textId="77777777" w:rsidR="001B5DB3" w:rsidRPr="00841A21" w:rsidRDefault="001B5DB3" w:rsidP="00841A21">
      <w:pPr>
        <w:pStyle w:val="Textbody"/>
        <w:spacing w:after="200"/>
        <w:ind w:left="1134" w:firstLine="1134"/>
        <w:jc w:val="both"/>
        <w:rPr>
          <w:i/>
          <w:iCs/>
        </w:rPr>
      </w:pPr>
      <w:r w:rsidRPr="00841A21">
        <w:rPr>
          <w:i/>
          <w:iCs/>
        </w:rPr>
        <w:t>                   a) aumentar a transparência ativa relativa às renúncias de receitas e garantir o acesso à informação de interesse coletivo ou geral, facilitando o controle social;</w:t>
      </w:r>
    </w:p>
    <w:p w14:paraId="4ED25558" w14:textId="77777777" w:rsidR="001B5DB3" w:rsidRPr="00841A21" w:rsidRDefault="001B5DB3" w:rsidP="00841A21">
      <w:pPr>
        <w:pStyle w:val="Textbody"/>
        <w:spacing w:after="200"/>
        <w:ind w:left="1134" w:firstLine="1134"/>
        <w:jc w:val="both"/>
        <w:rPr>
          <w:i/>
          <w:iCs/>
        </w:rPr>
      </w:pPr>
      <w:r w:rsidRPr="00841A21">
        <w:rPr>
          <w:i/>
          <w:iCs/>
        </w:rPr>
        <w:t>                   b) contribuir para a redução gradual do montante global referente aos benefícios fiscais, em consonância com a Emenda Constitucional nº 109, de 2021;</w:t>
      </w:r>
    </w:p>
    <w:p w14:paraId="7620DF44" w14:textId="77777777" w:rsidR="001B5DB3" w:rsidRPr="00841A21" w:rsidRDefault="001B5DB3" w:rsidP="00841A21">
      <w:pPr>
        <w:pStyle w:val="Textbody"/>
        <w:spacing w:after="200"/>
        <w:ind w:left="1134" w:firstLine="1134"/>
        <w:jc w:val="both"/>
        <w:rPr>
          <w:i/>
          <w:iCs/>
        </w:rPr>
      </w:pPr>
      <w:r w:rsidRPr="00841A21">
        <w:rPr>
          <w:i/>
          <w:iCs/>
        </w:rPr>
        <w:t>                   c) melhorar a gestão e a governança dos benefícios tributários utilizados como instrumentos de promoção de objetivos de políticas públicas; e</w:t>
      </w:r>
    </w:p>
    <w:p w14:paraId="66222CC9" w14:textId="77777777" w:rsidR="001B5DB3" w:rsidRPr="00841A21" w:rsidRDefault="001B5DB3" w:rsidP="00841A21">
      <w:pPr>
        <w:pStyle w:val="Textbody"/>
        <w:spacing w:after="200"/>
        <w:ind w:left="1134" w:firstLine="1134"/>
        <w:jc w:val="both"/>
        <w:rPr>
          <w:i/>
          <w:iCs/>
        </w:rPr>
      </w:pPr>
      <w:r w:rsidRPr="00841A21">
        <w:rPr>
          <w:i/>
          <w:iCs/>
        </w:rPr>
        <w:t>                   d) concorrer para a melhoria do desempenho e dos resultados das políticas públicas implementadas por meio de incentivos fiscais.</w:t>
      </w:r>
    </w:p>
    <w:p w14:paraId="481D093D" w14:textId="77777777" w:rsidR="001B5DB3" w:rsidRPr="00841A21" w:rsidRDefault="001B5DB3" w:rsidP="00841A21">
      <w:pPr>
        <w:pStyle w:val="Textbody"/>
        <w:spacing w:after="200"/>
        <w:ind w:left="1134"/>
        <w:jc w:val="both"/>
        <w:rPr>
          <w:i/>
          <w:iCs/>
        </w:rPr>
      </w:pPr>
      <w:r w:rsidRPr="00841A21">
        <w:rPr>
          <w:i/>
          <w:iCs/>
        </w:rPr>
        <w:t>62.              Para tanto, o Projeto de Lei prevê as informações mínimas obrigatórias a serem declaradas pelos beneficiários e divulgadas pela Secretaria Especial da Receita Federal do Brasil acerca dos incentivos tributários na esfera federal, as sanções a serem aplicadas em caso de descumprimento da exigência de declaração de tais dados, além da consolidação, em um único ato legal, de todas as condições necessárias para a concessão e fruição desses benefícios, atualmente dispostas em legislação esparsa.</w:t>
      </w:r>
    </w:p>
    <w:p w14:paraId="6E22F317" w14:textId="77777777" w:rsidR="001B5DB3" w:rsidRPr="00841A21" w:rsidRDefault="001B5DB3">
      <w:pPr>
        <w:pStyle w:val="Textbody"/>
        <w:spacing w:after="200"/>
        <w:jc w:val="both"/>
      </w:pPr>
    </w:p>
    <w:p w14:paraId="4C4B859E" w14:textId="405719EB" w:rsidR="00483E48" w:rsidRPr="00841A21" w:rsidRDefault="007E7C7D" w:rsidP="00841A21">
      <w:pPr>
        <w:pStyle w:val="Textbody"/>
        <w:spacing w:after="200"/>
        <w:jc w:val="both"/>
        <w:rPr>
          <w:b/>
          <w:bCs/>
        </w:rPr>
      </w:pPr>
      <w:r>
        <w:rPr>
          <w:b/>
          <w:bCs/>
        </w:rPr>
        <w:t xml:space="preserve">II - </w:t>
      </w:r>
      <w:r w:rsidRPr="00841A21">
        <w:rPr>
          <w:b/>
          <w:bCs/>
        </w:rPr>
        <w:t>Delegação de Competência para Julgamento de Processo Administrativo Fiscal Relativo ao ITR</w:t>
      </w:r>
    </w:p>
    <w:p w14:paraId="0851E6ED" w14:textId="688A1F51" w:rsidR="00483E48" w:rsidRPr="007E7C7D" w:rsidRDefault="00AA0109" w:rsidP="00841A21">
      <w:pPr>
        <w:pStyle w:val="Textbody"/>
        <w:spacing w:after="200"/>
        <w:ind w:firstLine="1134"/>
        <w:jc w:val="both"/>
      </w:pPr>
      <w:r w:rsidRPr="007E7C7D">
        <w:t xml:space="preserve">O art. 153, § 4º, inciso III, da Constituição Federal prevê a possibilidade de o Imposto sobre a Propriedade Territorial Rural - ITR ser fiscalizado e cobrado pelos Municípios que assim optarem, na forma da lei. Trata-se de </w:t>
      </w:r>
      <w:r w:rsidRPr="007E7C7D">
        <w:t>hipótese de delegação da capacidade tributária ativa.</w:t>
      </w:r>
    </w:p>
    <w:p w14:paraId="4914D47C" w14:textId="15E04331" w:rsidR="00483E48" w:rsidRPr="007E7C7D" w:rsidRDefault="00AA0109" w:rsidP="00841A21">
      <w:pPr>
        <w:pStyle w:val="Textbody"/>
        <w:spacing w:after="200"/>
        <w:ind w:firstLine="1134"/>
        <w:jc w:val="both"/>
      </w:pPr>
      <w:r w:rsidRPr="007E7C7D">
        <w:t>A Lei nº 11.250, de 27 de dezembro de 2005, ao regulamentar o dispositivo constitucional mencionado, previu que compete à União, por meio da Secretaria Especial da Receita Federal do Brasil, celebrar co</w:t>
      </w:r>
      <w:r w:rsidRPr="007E7C7D">
        <w:t>nvênios com o Distrito Federal e os Municípios visando a delegar as atribuições de fiscalização, lançamento e cobrança dos créditos tributários do ITR, sem prejuízo da competência supletiva da administração tributária federal.</w:t>
      </w:r>
    </w:p>
    <w:p w14:paraId="3F287057" w14:textId="577E5D55" w:rsidR="00483E48" w:rsidRPr="007E7C7D" w:rsidRDefault="00AA0109" w:rsidP="00841A21">
      <w:pPr>
        <w:pStyle w:val="Textbody"/>
        <w:spacing w:after="200"/>
        <w:ind w:firstLine="1134"/>
        <w:jc w:val="both"/>
      </w:pPr>
      <w:r w:rsidRPr="007E7C7D">
        <w:t>Ocorre, no entanto, que o leg</w:t>
      </w:r>
      <w:r w:rsidRPr="007E7C7D">
        <w:t>islador não conferiu expressamente a possibilidade de delegação da atribuição de instrução e julgamento dos processos administrativos de determinação e exigência do ITR, que continua sendo exercida pela União, conforme previsão contida no art. 15 do Decret</w:t>
      </w:r>
      <w:r w:rsidRPr="007E7C7D">
        <w:t>o nº 6.433, de 15 de abril de 2008.</w:t>
      </w:r>
    </w:p>
    <w:p w14:paraId="0D6A848A" w14:textId="25CF5801" w:rsidR="00483E48" w:rsidRPr="007E7C7D" w:rsidRDefault="00AA0109" w:rsidP="00841A21">
      <w:pPr>
        <w:pStyle w:val="Textbody"/>
        <w:spacing w:after="200"/>
        <w:ind w:firstLine="1134"/>
        <w:jc w:val="both"/>
      </w:pPr>
      <w:r w:rsidRPr="007E7C7D">
        <w:t>Cabe mencionar que, atualmente, do total de processos que compõem o acervo das DRJ e DRJ-R, cerca de 2,78% (dois inteiros e setenta e oito centésimos por cento) são relativos ao ITR.</w:t>
      </w:r>
    </w:p>
    <w:p w14:paraId="4A6B47D2" w14:textId="1E6FD4D7" w:rsidR="00483E48" w:rsidRPr="007E7C7D" w:rsidRDefault="00AA0109" w:rsidP="00841A21">
      <w:pPr>
        <w:pStyle w:val="Textbody"/>
        <w:spacing w:after="200"/>
        <w:ind w:firstLine="1134"/>
        <w:jc w:val="both"/>
      </w:pPr>
      <w:r w:rsidRPr="007E7C7D">
        <w:t xml:space="preserve">Propõe-se a alteração do dispositivo </w:t>
      </w:r>
      <w:r w:rsidRPr="007E7C7D">
        <w:t>legal com o objetivo de permitir que o Distrito Federal e os Municípios, no exercício da capacidade tributária ativa de que trata o art. 153, § 4º, inciso III, da Constituição Federal, possam também exercer as atribuições de instrução e julgamento dos proc</w:t>
      </w:r>
      <w:r w:rsidRPr="007E7C7D">
        <w:t>essos administrativos de determinação e exigência do ITR, na forma estabelecia em convênio.</w:t>
      </w:r>
    </w:p>
    <w:p w14:paraId="10AF2B25" w14:textId="4344F19B" w:rsidR="00483E48" w:rsidRPr="007E7C7D" w:rsidRDefault="00AA0109" w:rsidP="00841A21">
      <w:pPr>
        <w:pStyle w:val="Textbody"/>
        <w:spacing w:after="200"/>
        <w:ind w:firstLine="1134"/>
        <w:jc w:val="both"/>
      </w:pPr>
      <w:r w:rsidRPr="007E7C7D">
        <w:t>Na hipótese de julgamento dos processos administrativos de determinação e exigência do ITR pelo Distrito Federal ou por Município, deverão ser observados os atos no</w:t>
      </w:r>
      <w:r w:rsidRPr="007E7C7D">
        <w:t>rmativos e interpretativos editados pela Secretaria Especial da Receita Federal do Brasil.</w:t>
      </w:r>
    </w:p>
    <w:p w14:paraId="78FF0835" w14:textId="65603922" w:rsidR="00483E48" w:rsidRPr="00841A21" w:rsidRDefault="005C31E2" w:rsidP="00841A21">
      <w:pPr>
        <w:pStyle w:val="Textbody"/>
        <w:spacing w:after="200"/>
        <w:jc w:val="both"/>
        <w:rPr>
          <w:b/>
          <w:bCs/>
        </w:rPr>
      </w:pPr>
      <w:r>
        <w:rPr>
          <w:b/>
          <w:bCs/>
        </w:rPr>
        <w:t xml:space="preserve">III - </w:t>
      </w:r>
      <w:r w:rsidRPr="00841A21">
        <w:rPr>
          <w:b/>
          <w:bCs/>
        </w:rPr>
        <w:t>Limitação da Compensação de Créditos Relativos a Tributos Administrados pela Secretaria Especial da Receita Federal do Brasil</w:t>
      </w:r>
    </w:p>
    <w:p w14:paraId="6AEACD17" w14:textId="377CCB02" w:rsidR="00483E48" w:rsidRDefault="00AA0109" w:rsidP="00841A21">
      <w:pPr>
        <w:pStyle w:val="Textbody"/>
        <w:spacing w:after="200"/>
        <w:ind w:firstLine="1134"/>
        <w:jc w:val="both"/>
      </w:pPr>
      <w:r>
        <w:t>A compensação de tributos adminis</w:t>
      </w:r>
      <w:r>
        <w:t>trados pela Secretaria Especial da Receita Federal do Brasil é regulamentada pelo art. 74 da Lei nº 9.430, de 27 de dezembro de 1996, que permite ao contribuinte a utilização de créditos, inclusive os judiciais com trânsito em julgado, passíveis de restitu</w:t>
      </w:r>
      <w:r>
        <w:t>ição ou de ressarcimento, na compensação de débitos próprios relativos a quaisquer tributos e contribuições administrados pelo órgão.</w:t>
      </w:r>
    </w:p>
    <w:p w14:paraId="4CCAE4AA" w14:textId="4984D6A8" w:rsidR="00483E48" w:rsidRDefault="00AA0109" w:rsidP="00841A21">
      <w:pPr>
        <w:pStyle w:val="Textbody"/>
        <w:spacing w:after="200"/>
        <w:ind w:firstLine="1134"/>
        <w:jc w:val="both"/>
      </w:pPr>
      <w:r>
        <w:t>A compensação, nos termos da Instrução Normativa RFB nº 2.055, de 6 de dezembro de 2021, deve ser realizada por meio do pr</w:t>
      </w:r>
      <w:r>
        <w:t>ograma Pedido de Restituição, Ressarcimento ou Reembolso e Declaração de Compensação - PER/DCOMP.</w:t>
      </w:r>
    </w:p>
    <w:p w14:paraId="1EB32A99" w14:textId="082BB716" w:rsidR="00483E48" w:rsidRDefault="00AA0109" w:rsidP="00841A21">
      <w:pPr>
        <w:pStyle w:val="Textbody"/>
        <w:spacing w:after="200"/>
        <w:ind w:firstLine="1134"/>
        <w:jc w:val="both"/>
      </w:pPr>
      <w:r>
        <w:t>Observando-se os valores compensados anualmente por meio de PER/DCOMP, nota-se forte incremento na compensação a partir do ano de 2019, especialmente em razão</w:t>
      </w:r>
      <w:r>
        <w:t xml:space="preserve"> da exclusão de créditos do Imposto sobre Operações relativas à Circulação de Mercadorias e sobre Prestações de Serviços de Transporte Interestadual e Intermunicipal e de Comunicação - ICMS da base de cálculo da Contribuição para o PIS/Pasep e da Cofins, d</w:t>
      </w:r>
      <w:r>
        <w:t>ecorrente de decisões judiciais.</w:t>
      </w:r>
    </w:p>
    <w:p w14:paraId="5A75E514" w14:textId="101B887C" w:rsidR="00483E48" w:rsidRDefault="00AA0109" w:rsidP="00841A21">
      <w:pPr>
        <w:pStyle w:val="Textbody"/>
        <w:spacing w:after="200"/>
        <w:ind w:firstLine="1134"/>
        <w:jc w:val="both"/>
      </w:pPr>
      <w:r>
        <w:t>Considerando-se o período de 2018 a 2023, os débitos compensados ultrapassaram o valor total de R$ 1 trilhão (um trilhão de reais). Comparando-se o período de janeiro a dezembro de 2023 com o mesmo período de 2022, houve au</w:t>
      </w:r>
      <w:r>
        <w:t>mento nominal de 12,7% (doze inteiros e sete décimos por cento) dos valores compensados.</w:t>
      </w:r>
    </w:p>
    <w:p w14:paraId="77E224A0" w14:textId="0B4FA716" w:rsidR="00483E48" w:rsidRDefault="00AA0109" w:rsidP="00841A21">
      <w:pPr>
        <w:pStyle w:val="Textbody"/>
        <w:spacing w:after="200"/>
        <w:ind w:firstLine="1134"/>
        <w:jc w:val="both"/>
      </w:pPr>
      <w:r>
        <w:t>A fim de mitigar o impacto do grande volume de compensações na arrecadação federal, foi editada a Medida Provisória nº 1.202, de 28 de dezembro de 2023, que estabelece</w:t>
      </w:r>
      <w:r>
        <w:t>u limite mensal de compensação com créditos decorrentes de decisão judicial.</w:t>
      </w:r>
    </w:p>
    <w:p w14:paraId="39A411B3" w14:textId="09C9A6A6" w:rsidR="00483E48" w:rsidRDefault="00AA0109" w:rsidP="00841A21">
      <w:pPr>
        <w:pStyle w:val="Textbody"/>
        <w:spacing w:after="200"/>
        <w:ind w:firstLine="1134"/>
        <w:jc w:val="both"/>
      </w:pPr>
      <w:r>
        <w:t>Ocorre, no entanto, que as medidas adotadas não são suficientes para recompor a receita da União para o exercício financeiro de 2024, tendo em vista o volume de compensações reali</w:t>
      </w:r>
      <w:r>
        <w:t>zadas pelos contribuintes.</w:t>
      </w:r>
    </w:p>
    <w:p w14:paraId="6647D85E" w14:textId="180AF5DD" w:rsidR="00483E48" w:rsidRDefault="00AA0109" w:rsidP="00841A21">
      <w:pPr>
        <w:pStyle w:val="Textbody"/>
        <w:spacing w:after="200"/>
        <w:ind w:firstLine="1134"/>
        <w:jc w:val="both"/>
      </w:pPr>
      <w:r>
        <w:t>No ano de 2023, o estoque de créditos acumulados pelos sujeitos passivos ultrapassou o valor de R$ 149 bilhões (cento e quarenta e nove bilhões de reais).</w:t>
      </w:r>
    </w:p>
    <w:p w14:paraId="6D446DE8" w14:textId="7786E4AA" w:rsidR="00483E48" w:rsidRDefault="00AA0109" w:rsidP="00841A21">
      <w:pPr>
        <w:pStyle w:val="Textbody"/>
        <w:spacing w:after="200"/>
        <w:ind w:firstLine="1134"/>
        <w:jc w:val="both"/>
      </w:pPr>
      <w:r>
        <w:t xml:space="preserve">Nesse mesmo exercício, os débitos compensados totalizaram aproximadamente </w:t>
      </w:r>
      <w:r>
        <w:t>R$ 250 bilhões (duzentos e cinquenta bilhões de reais), com destaque para os créditos oriundos de ação judicial e os créditos da Contribuição para o PIS/Pasep e da Cofins, que representaram cerca de 30% (trinta por cento) e 25% (vinte e cinco por cento), r</w:t>
      </w:r>
      <w:r>
        <w:t>espectivamente, do total de débitos compensados no período.</w:t>
      </w:r>
    </w:p>
    <w:p w14:paraId="75393C5D" w14:textId="0CFF559B" w:rsidR="00483E48" w:rsidRDefault="00AA0109" w:rsidP="00841A21">
      <w:pPr>
        <w:pStyle w:val="Textbody"/>
        <w:spacing w:after="200"/>
        <w:ind w:firstLine="1134"/>
        <w:jc w:val="both"/>
      </w:pPr>
      <w:r>
        <w:t>Especificamente quanto aos débitos de contribuições previdenciárias, no ano de 2023, a compensação totalizou R$ 64 bilhões (sessenta e quatro bilhões de reais), sendo que apenas R$ 9 bilhões (nove</w:t>
      </w:r>
      <w:r>
        <w:t xml:space="preserve"> bilhões de reais) foram compensados com créditos de contribuições previdenciárias. Significa dizer que mais de 85% (oitenta e cinco por cento) da compensação de débitos previdenciários é realizada com créditos relativos aos demais tributos administrados p</w:t>
      </w:r>
      <w:r>
        <w:t>ela Secretaria Especial da Receita Federal do Brasil.</w:t>
      </w:r>
    </w:p>
    <w:p w14:paraId="2FCDA8F5" w14:textId="3A83DAEC" w:rsidR="00483E48" w:rsidRDefault="00AA0109" w:rsidP="00841A21">
      <w:pPr>
        <w:pStyle w:val="Textbody"/>
        <w:spacing w:after="200"/>
        <w:ind w:firstLine="1134"/>
        <w:jc w:val="both"/>
      </w:pPr>
      <w:r>
        <w:t>A compensação de débitos relativos a tributos administrados pela Secretaria Especial da Receita Federal do Brasil com créditos do regime de incidência não cumulativa da Contribuição para o PIS/Pasep e d</w:t>
      </w:r>
      <w:r>
        <w:t>a Cofins tem comprometido em grande medida a arrecadação federal, prejudicando a consecução do objetivo de responsabilidade fiscal e, consequentemente, a continuidade de políticas públicas essenciais.</w:t>
      </w:r>
    </w:p>
    <w:p w14:paraId="7FD78B81" w14:textId="6F7271BD" w:rsidR="00483E48" w:rsidRDefault="00AA0109" w:rsidP="00841A21">
      <w:pPr>
        <w:pStyle w:val="Textbody"/>
        <w:spacing w:after="200"/>
        <w:ind w:firstLine="1134"/>
        <w:jc w:val="both"/>
      </w:pPr>
      <w:r>
        <w:t>Dessa forma, em complemento às medidas adotadas pela Me</w:t>
      </w:r>
      <w:r>
        <w:t>dida Provisória nº 1.202, de 2023, propõe-se a alteração do art. 74 da Lei nº 9.430, de 1996, com o objetivo de vedar, a partir de 1º de junho de 2024, a compensação de crédito do regime de incidência não cumulativa da Contribuição para o PIS/Pasep e da Co</w:t>
      </w:r>
      <w:r>
        <w:t>fins, exceto com débito das referidas contribuições.</w:t>
      </w:r>
    </w:p>
    <w:p w14:paraId="0B0FBF2A" w14:textId="14824FFB" w:rsidR="00483E48" w:rsidRDefault="00AA0109" w:rsidP="00841A21">
      <w:pPr>
        <w:pStyle w:val="Textbody"/>
        <w:spacing w:after="200"/>
        <w:ind w:firstLine="1134"/>
        <w:jc w:val="both"/>
      </w:pPr>
      <w:r>
        <w:t>A partir de 1º de junho de 2024, eventuais compensações apresentadas em desacordo com a norma serão consideradas não declaradas pela Secretaria Especial da Receita Federal do Brasil e, portanto, não prod</w:t>
      </w:r>
      <w:r>
        <w:t>uzirão os efeitos próprios da compensação tributária.</w:t>
      </w:r>
    </w:p>
    <w:p w14:paraId="762565ED" w14:textId="66430E72" w:rsidR="00483E48" w:rsidRDefault="00AA0109" w:rsidP="00841A21">
      <w:pPr>
        <w:pStyle w:val="Textbody"/>
        <w:spacing w:after="200"/>
        <w:ind w:firstLine="1134"/>
        <w:jc w:val="both"/>
      </w:pPr>
      <w:r>
        <w:t>Tomando-se por base o exercício de 2023 e considerando-se a vigência da limitação da compensação tributária a partir de 1º de junho de 2024, estima-se que R$ 17,5 bilhões (dezessete bilhões e quinhentos</w:t>
      </w:r>
      <w:r>
        <w:t xml:space="preserve"> milhões de reais) em débitos relativos a tributos administrados pela Secretaria Especial da Receita Federal do Brasil deixarão de ser compensados com créditos do regime de incidência não cumulativa da Contribuição para o PIS/Pasep e da Cofins.</w:t>
      </w:r>
    </w:p>
    <w:p w14:paraId="13C433BB" w14:textId="358E2972" w:rsidR="00483E48" w:rsidRDefault="00AA0109" w:rsidP="00841A21">
      <w:pPr>
        <w:pStyle w:val="Textbody"/>
        <w:spacing w:after="200"/>
        <w:ind w:firstLine="1134"/>
        <w:jc w:val="both"/>
      </w:pPr>
      <w:r>
        <w:t>Mantém-se a</w:t>
      </w:r>
      <w:r>
        <w:t xml:space="preserve"> autorização de compensação entre os demais créditos e débitos relativos tributos administrados pela Secretaria Especial da Receita Federal do Brasil, mediante a entrega de declaração de compensação.</w:t>
      </w:r>
    </w:p>
    <w:p w14:paraId="69013F82" w14:textId="38FC29DA" w:rsidR="00483E48" w:rsidRPr="00841A21" w:rsidRDefault="00680642" w:rsidP="00841A21">
      <w:pPr>
        <w:pStyle w:val="Textbody"/>
        <w:spacing w:after="200"/>
        <w:jc w:val="both"/>
        <w:rPr>
          <w:b/>
          <w:bCs/>
        </w:rPr>
      </w:pPr>
      <w:r w:rsidRPr="00841A21">
        <w:rPr>
          <w:b/>
          <w:bCs/>
        </w:rPr>
        <w:t>I</w:t>
      </w:r>
      <w:r w:rsidR="005C31E2">
        <w:rPr>
          <w:b/>
          <w:bCs/>
        </w:rPr>
        <w:t>V</w:t>
      </w:r>
      <w:r w:rsidRPr="00841A21">
        <w:rPr>
          <w:b/>
          <w:bCs/>
        </w:rPr>
        <w:t xml:space="preserve"> - Revogação de Hipóteses de Ressarcimento e Compensação de Créditos Presumidos da Contribuição para o PIS/Pasep e da Cofins</w:t>
      </w:r>
    </w:p>
    <w:p w14:paraId="6FEE4F5E" w14:textId="29D8C1D3" w:rsidR="00483E48" w:rsidRDefault="00AA0109" w:rsidP="00841A21">
      <w:pPr>
        <w:pStyle w:val="Textbody"/>
        <w:spacing w:after="200"/>
        <w:ind w:firstLine="1134"/>
        <w:jc w:val="both"/>
      </w:pPr>
      <w:r>
        <w:t xml:space="preserve">Faz-se necessário </w:t>
      </w:r>
      <w:r w:rsidR="004F2C4E">
        <w:t xml:space="preserve">ainda </w:t>
      </w:r>
      <w:r>
        <w:t xml:space="preserve">revogar os dispositivos legais que autorizam o ressarcimento ou a compensação de créditos presumidos da Contribuição para o PIS/Pasep e da Cofins, pelos motivos </w:t>
      </w:r>
      <w:r>
        <w:t>a seguir expostos.</w:t>
      </w:r>
    </w:p>
    <w:p w14:paraId="2467ADA1" w14:textId="7B907319" w:rsidR="00483E48" w:rsidRDefault="00AA0109" w:rsidP="00841A21">
      <w:pPr>
        <w:pStyle w:val="Textbody"/>
        <w:spacing w:after="200"/>
        <w:ind w:firstLine="1134"/>
        <w:jc w:val="both"/>
      </w:pPr>
      <w:r>
        <w:t>Inicialmente, cabe registrar que, regra geral, os créditos decorrentes do regime de não cumulatividade, inerente aos tributos incidentes sobre o consumo, devem ser deduzidos dos débitos desses mesmos tributos e, portanto, não são passíve</w:t>
      </w:r>
      <w:r>
        <w:t>is de ressarcimento ou compensação, a não ser que haja permissão legal expressa nesse sentido.</w:t>
      </w:r>
    </w:p>
    <w:p w14:paraId="387CC34B" w14:textId="6F9C6FCE" w:rsidR="00483E48" w:rsidRDefault="00AA0109" w:rsidP="00841A21">
      <w:pPr>
        <w:pStyle w:val="Textbody"/>
        <w:spacing w:after="200"/>
        <w:ind w:firstLine="1134"/>
        <w:jc w:val="both"/>
      </w:pPr>
      <w:r>
        <w:t>Indubitavelmente, ao ser implementado texto legal que permita, para determinados setores da economia, que o crédito presumido seja compensado com outros tributos</w:t>
      </w:r>
      <w:r>
        <w:t xml:space="preserve"> administrados pela Secretaria Especial da Receita Federal do Brasil ou ressarcido em dinheiro, permite-se a monetização dos créditos presumidos, com prejuízos para arrecadação de receitas federais. De fato, é forçoso reconhecer que existe uma assimetria e</w:t>
      </w:r>
      <w:r>
        <w:t>ntre esses setores, que podem monetizar o crédito presumido, e os demais setores da economia.</w:t>
      </w:r>
    </w:p>
    <w:p w14:paraId="255CEADD" w14:textId="5F7A1710" w:rsidR="00483E48" w:rsidRDefault="00AA0109" w:rsidP="00841A21">
      <w:pPr>
        <w:pStyle w:val="Textbody"/>
        <w:spacing w:after="200"/>
        <w:ind w:firstLine="1134"/>
        <w:jc w:val="both"/>
      </w:pPr>
      <w:r>
        <w:t>Tem-se observado que esses tipos de vantagens tributárias caminham no sentido inverso ao do interesse social, pois, além de diminuírem a arrecadação, tornam a leg</w:t>
      </w:r>
      <w:r>
        <w:t>islação e a fiscalização tributárias mais complexas, ocasionando custos, e promovem distorções econômicas, sem que consigam alcançar seus próprios objetivos.</w:t>
      </w:r>
    </w:p>
    <w:p w14:paraId="78AAF939" w14:textId="69D3A9EF" w:rsidR="00483E48" w:rsidRDefault="00AA0109" w:rsidP="00841A21">
      <w:pPr>
        <w:pStyle w:val="Textbody"/>
        <w:spacing w:after="200"/>
        <w:ind w:firstLine="1134"/>
        <w:jc w:val="both"/>
      </w:pPr>
      <w:r>
        <w:t>Observa-se a extensa possibilidade da monetização do crédito presumido de tributos incidentes sobr</w:t>
      </w:r>
      <w:r>
        <w:t xml:space="preserve">e o consumo por meio de sua compensação e ressarcimento. Em 2023, a arrecadação de créditos relativos a tributos administrados pelo órgão foi reduzida na ordem de R$ 62 bilhões (sessenta e dois bilhões de reais) em decorrência de compensações com créditos </w:t>
      </w:r>
      <w:r>
        <w:t>da Contribuição para o PIS/Pasep e da Cofins, sem considerar as compensações com créditos decorrentes de decisão judicial.</w:t>
      </w:r>
    </w:p>
    <w:p w14:paraId="5227F0D9" w14:textId="782B2FF4" w:rsidR="00483E48" w:rsidRDefault="00AA0109" w:rsidP="00841A21">
      <w:pPr>
        <w:pStyle w:val="Textbody"/>
        <w:spacing w:after="200"/>
        <w:ind w:firstLine="1134"/>
        <w:jc w:val="both"/>
      </w:pPr>
      <w:r>
        <w:t>Ademais, os valores de crédito presumido da Contribuição para o PIS/Pasep e da Cofins solicitados em pedidos de ressarcimento têm aum</w:t>
      </w:r>
      <w:r>
        <w:t>entado consideravelmente desde 2014, alcançando cerca de R$ 22 bilhões (vinte e dois bilhões de reais) em 2022 e R$ 20 bilhões (vinte bilhões de reais) em 2023.</w:t>
      </w:r>
    </w:p>
    <w:p w14:paraId="614F9976" w14:textId="2BDBA6B1" w:rsidR="00483E48" w:rsidRDefault="00AA0109" w:rsidP="00841A21">
      <w:pPr>
        <w:pStyle w:val="Textbody"/>
        <w:spacing w:after="200"/>
        <w:ind w:firstLine="1134"/>
        <w:jc w:val="both"/>
      </w:pPr>
      <w:r>
        <w:t>Nesse sentido, propõe-se a revogação dos referidos dispositivos que, atualmente, autorizam o re</w:t>
      </w:r>
      <w:r>
        <w:t>ssarcimento e a compensação de créditos presumidos da Contribuição para o PIS/Pasep, da Cofins. A referida revogação não impedirá que as empresas utilizem os referidos créditos para deduzir débitos dos respectivos tributos, considerada a sistemática de não</w:t>
      </w:r>
      <w:r>
        <w:t xml:space="preserve"> cumulatividade.</w:t>
      </w:r>
    </w:p>
    <w:p w14:paraId="45BF1B89" w14:textId="2496A24E" w:rsidR="00483E48" w:rsidRDefault="00AA0109" w:rsidP="00841A21">
      <w:pPr>
        <w:pStyle w:val="Textbody"/>
        <w:spacing w:after="200"/>
        <w:ind w:firstLine="1134"/>
        <w:jc w:val="both"/>
      </w:pPr>
      <w:r>
        <w:t>Tomando-se por base o exercício de 2023, estima-se que aproximadamente R$ 11,7 bilhões (onze bilhões e setecentos milhões de reais) de créditos presumidos da Contribuição para o PIS/Pasep e a Cofins deixarão de ser pleiteados por ressarcim</w:t>
      </w:r>
      <w:r>
        <w:t>ento ou declaração de compensação.</w:t>
      </w:r>
    </w:p>
    <w:p w14:paraId="4F901E2D" w14:textId="2F232218" w:rsidR="00483E48" w:rsidRPr="00841A21" w:rsidRDefault="005C31E2" w:rsidP="00841A21">
      <w:pPr>
        <w:pStyle w:val="Textbody"/>
        <w:spacing w:after="200"/>
        <w:jc w:val="both"/>
        <w:rPr>
          <w:b/>
          <w:bCs/>
        </w:rPr>
      </w:pPr>
      <w:r>
        <w:rPr>
          <w:b/>
          <w:bCs/>
        </w:rPr>
        <w:t>V</w:t>
      </w:r>
      <w:r w:rsidR="00680642" w:rsidRPr="00841A21">
        <w:rPr>
          <w:b/>
          <w:bCs/>
        </w:rPr>
        <w:t xml:space="preserve"> - Pressupostos de Relevância e Urgência da Medida Provisória</w:t>
      </w:r>
    </w:p>
    <w:p w14:paraId="66E28228" w14:textId="73BD4243" w:rsidR="00483E48" w:rsidRDefault="00AA0109" w:rsidP="00841A21">
      <w:pPr>
        <w:pStyle w:val="Textbody"/>
        <w:spacing w:after="200"/>
        <w:ind w:firstLine="1134"/>
        <w:jc w:val="both"/>
      </w:pPr>
      <w:r>
        <w:t>As medidas ora propostas são relevantes porque</w:t>
      </w:r>
      <w:r w:rsidR="004D58DB">
        <w:t>: (1</w:t>
      </w:r>
      <w:r>
        <w:t>) aperfeiçoam a legislação tributária relativa à Contribuição para o PIS/Pasep e à Cofins; e (</w:t>
      </w:r>
      <w:r w:rsidR="004D58DB">
        <w:t>2</w:t>
      </w:r>
      <w:r>
        <w:t xml:space="preserve">) contribuem </w:t>
      </w:r>
      <w:r>
        <w:t>para a recomposição da receita da União para o exercício financeiro de 2024.</w:t>
      </w:r>
    </w:p>
    <w:p w14:paraId="1AA82242" w14:textId="5DEF913A" w:rsidR="00483E48" w:rsidRDefault="00AA0109" w:rsidP="00841A21">
      <w:pPr>
        <w:pStyle w:val="Textbody"/>
        <w:spacing w:after="200"/>
        <w:ind w:firstLine="1134"/>
        <w:jc w:val="both"/>
      </w:pPr>
      <w:r>
        <w:t xml:space="preserve">A urgência da medida está demonstrada pelas seguintes necessidades prementes: </w:t>
      </w:r>
      <w:r w:rsidR="004D58DB">
        <w:t xml:space="preserve">a </w:t>
      </w:r>
      <w:r>
        <w:t xml:space="preserve">limitação da compensação de créditos relativos a tributos administrado pela Secretaria Especial da </w:t>
      </w:r>
      <w:r>
        <w:t>Receita Federal do Brasil e revogação de hipóteses de ressarcimento e compensação de créditos presumidos da Contribuição para o PIS/Pasep e da Cofins, tendo em vista o impacto da compensação tributária na arrecadação federal.</w:t>
      </w:r>
    </w:p>
    <w:p w14:paraId="3F36FCC4" w14:textId="4AA34266" w:rsidR="00483E48" w:rsidRDefault="004D58DB" w:rsidP="00841A21">
      <w:pPr>
        <w:pStyle w:val="Textbody"/>
        <w:spacing w:after="200"/>
        <w:ind w:firstLine="1134"/>
        <w:jc w:val="both"/>
      </w:pPr>
      <w:r>
        <w:t>Ainda, cabe ressaltar que o volume de compensações atualmente existente pode comprometer o alcance da meta fiscal estabelecida na Lei nº 14.791, de 29 de dezembro de 2023 - Lei de Diretrizes Orçamentárias de 2024, tornando-se necessária e urgente a recomposição da base tributável a partir do segundo semestre de 2024.</w:t>
      </w:r>
    </w:p>
    <w:p w14:paraId="3B8BCD49" w14:textId="721F8699" w:rsidR="00483E48" w:rsidRPr="00841A21" w:rsidRDefault="00680642" w:rsidP="00841A21">
      <w:pPr>
        <w:pStyle w:val="Textbody"/>
        <w:spacing w:after="200"/>
        <w:jc w:val="both"/>
        <w:rPr>
          <w:b/>
          <w:bCs/>
        </w:rPr>
      </w:pPr>
      <w:r w:rsidRPr="00841A21">
        <w:rPr>
          <w:b/>
          <w:bCs/>
        </w:rPr>
        <w:t>V</w:t>
      </w:r>
      <w:r w:rsidR="005C31E2">
        <w:rPr>
          <w:b/>
          <w:bCs/>
        </w:rPr>
        <w:t>I</w:t>
      </w:r>
      <w:r w:rsidRPr="00841A21">
        <w:rPr>
          <w:b/>
          <w:bCs/>
        </w:rPr>
        <w:t xml:space="preserve"> - Impacto Orçamentário-Financeiro da Medida Provisória</w:t>
      </w:r>
    </w:p>
    <w:p w14:paraId="01B70425" w14:textId="2155AC20" w:rsidR="00483E48" w:rsidRDefault="004D58DB" w:rsidP="00841A21">
      <w:pPr>
        <w:pStyle w:val="Textbody"/>
        <w:spacing w:after="200"/>
        <w:ind w:firstLine="1134"/>
        <w:jc w:val="both"/>
      </w:pPr>
      <w:r>
        <w:t>Registra-se que a limitação da compensação tributária, a partir de 1º de junho de 2024, permitirá que R$ 17,5 bilhões (dezessete bilhões e quinhentos milhões de reais) em débitos relativos a tributos administrados pela Secretaria Especial da Receita Federal do Brasil deixem de ser compensados com créditos do regime de incidência não cumulativa da Contribuição para o PIS/Pasep e da Cofins no exercício de 2024. Estima-se, ainda, que aproximadamente R$ 11,7 bilhões (onze bilhões e setecentos milhões de reais) de créditos presumidos da Contribuição para o PIS/Pasep e a Cofins deixarão de ser pleiteados por ressarcimento ou declaração de compensação. As referidas medidas são fundamentais para a recomposição da receita da União para o exercício financeiro de 2024.</w:t>
      </w:r>
    </w:p>
    <w:p w14:paraId="65269DC9" w14:textId="77777777" w:rsidR="00483E48" w:rsidRDefault="00AA0109">
      <w:pPr>
        <w:pStyle w:val="Textbody"/>
        <w:spacing w:after="200"/>
        <w:ind w:firstLine="1134"/>
        <w:jc w:val="both"/>
      </w:pPr>
      <w:r>
        <w:t>Essas, Senhor Presidente, são as razões que justificam a elaboração do Projeto de Medida Provisória que ora submeto a sua apreciação.</w:t>
      </w:r>
    </w:p>
    <w:p w14:paraId="6E12F838" w14:textId="77777777" w:rsidR="00483E48" w:rsidRDefault="00AA0109">
      <w:pPr>
        <w:pStyle w:val="Textbody"/>
        <w:spacing w:after="1417"/>
        <w:ind w:firstLine="1134"/>
      </w:pPr>
      <w:r>
        <w:t>Respeitosamente,</w:t>
      </w:r>
    </w:p>
    <w:p w14:paraId="459A91BF" w14:textId="77777777" w:rsidR="00AA0109" w:rsidRDefault="00AA0109" w:rsidP="00AA0109">
      <w:pPr>
        <w:pStyle w:val="Textbody"/>
        <w:spacing w:after="0"/>
        <w:jc w:val="center"/>
      </w:pPr>
    </w:p>
    <w:p w14:paraId="55D6258D" w14:textId="77777777" w:rsidR="00AA0109" w:rsidRDefault="00AA0109" w:rsidP="00AA0109">
      <w:pPr>
        <w:pStyle w:val="Textbody"/>
      </w:pPr>
      <w:r>
        <w:t> </w:t>
      </w:r>
    </w:p>
    <w:p w14:paraId="136B71E9" w14:textId="77777777" w:rsidR="00AA0109" w:rsidRDefault="00AA0109" w:rsidP="00AA0109">
      <w:pPr>
        <w:pStyle w:val="Textbody"/>
      </w:pPr>
      <w:r>
        <w:t> </w:t>
      </w:r>
    </w:p>
    <w:p w14:paraId="1BFDA966" w14:textId="77777777" w:rsidR="00AA0109" w:rsidRDefault="00AA0109" w:rsidP="00AA0109">
      <w:pPr>
        <w:pStyle w:val="Textbody"/>
      </w:pPr>
    </w:p>
    <w:p w14:paraId="6D5878E8" w14:textId="77777777" w:rsidR="00AA0109" w:rsidRDefault="00AA0109" w:rsidP="00AA0109">
      <w:pPr>
        <w:pStyle w:val="Textbody"/>
      </w:pPr>
      <w:bookmarkStart w:id="0" w:name="_GoBack"/>
      <w:bookmarkEnd w:id="0"/>
    </w:p>
    <w:p w14:paraId="762347BA" w14:textId="77777777" w:rsidR="00AA0109" w:rsidRDefault="00AA0109" w:rsidP="00AA0109">
      <w:pPr>
        <w:pStyle w:val="Textbody"/>
      </w:pPr>
    </w:p>
    <w:p w14:paraId="428396B1" w14:textId="77777777" w:rsidR="00AA0109" w:rsidRDefault="00AA0109" w:rsidP="00AA0109">
      <w:pPr>
        <w:pStyle w:val="Textbody"/>
      </w:pPr>
    </w:p>
    <w:p w14:paraId="4D38E256" w14:textId="77777777" w:rsidR="00AA0109" w:rsidRDefault="00AA0109" w:rsidP="00AA0109">
      <w:pPr>
        <w:pStyle w:val="Textbody"/>
      </w:pPr>
    </w:p>
    <w:p w14:paraId="1A4FD583" w14:textId="77777777" w:rsidR="00AA0109" w:rsidRDefault="00AA0109" w:rsidP="00AA0109">
      <w:pPr>
        <w:pStyle w:val="Textbody"/>
      </w:pPr>
    </w:p>
    <w:p w14:paraId="03BEB505" w14:textId="77777777" w:rsidR="00AA0109" w:rsidRDefault="00AA0109" w:rsidP="00AA0109">
      <w:pPr>
        <w:pStyle w:val="Textbody"/>
      </w:pPr>
    </w:p>
    <w:p w14:paraId="46333DA8" w14:textId="77777777" w:rsidR="00AA0109" w:rsidRDefault="00AA0109" w:rsidP="00AA0109">
      <w:pPr>
        <w:pStyle w:val="Textbody"/>
      </w:pPr>
    </w:p>
    <w:p w14:paraId="36D142C1" w14:textId="77777777" w:rsidR="00AA0109" w:rsidRDefault="00AA0109" w:rsidP="00AA0109">
      <w:pPr>
        <w:pStyle w:val="Textbody"/>
      </w:pPr>
    </w:p>
    <w:p w14:paraId="14FAAF19" w14:textId="77777777" w:rsidR="00AA0109" w:rsidRDefault="00AA0109" w:rsidP="00AA0109">
      <w:pPr>
        <w:pStyle w:val="Textbody"/>
      </w:pPr>
    </w:p>
    <w:p w14:paraId="701C0268" w14:textId="77777777" w:rsidR="00AA0109" w:rsidRDefault="00AA0109" w:rsidP="00AA0109">
      <w:pPr>
        <w:pStyle w:val="Textbody"/>
      </w:pPr>
    </w:p>
    <w:p w14:paraId="7D95560D" w14:textId="77777777" w:rsidR="00AA0109" w:rsidRDefault="00AA0109" w:rsidP="00AA0109">
      <w:pPr>
        <w:pStyle w:val="Textbody"/>
      </w:pPr>
    </w:p>
    <w:p w14:paraId="65131DBE" w14:textId="77777777" w:rsidR="00AA0109" w:rsidRDefault="00AA0109" w:rsidP="00AA0109">
      <w:pPr>
        <w:pStyle w:val="Textbody"/>
      </w:pPr>
    </w:p>
    <w:p w14:paraId="2968E6F4" w14:textId="77777777" w:rsidR="00AA0109" w:rsidRDefault="00AA0109" w:rsidP="00AA0109">
      <w:pPr>
        <w:pStyle w:val="Textbody"/>
      </w:pPr>
    </w:p>
    <w:p w14:paraId="3870EBD1" w14:textId="77777777" w:rsidR="00AA0109" w:rsidRDefault="00AA0109" w:rsidP="00AA0109">
      <w:pPr>
        <w:pStyle w:val="Textbody"/>
      </w:pPr>
    </w:p>
    <w:p w14:paraId="5F138E36" w14:textId="77777777" w:rsidR="00AA0109" w:rsidRDefault="00AA0109" w:rsidP="00AA0109">
      <w:pPr>
        <w:pStyle w:val="Textbody"/>
      </w:pPr>
    </w:p>
    <w:p w14:paraId="0C438CEE" w14:textId="77777777" w:rsidR="00AA0109" w:rsidRDefault="00AA0109" w:rsidP="00AA0109">
      <w:pPr>
        <w:pStyle w:val="Textbody"/>
      </w:pPr>
    </w:p>
    <w:p w14:paraId="16823BBD" w14:textId="77777777" w:rsidR="00AA0109" w:rsidRDefault="00AA0109" w:rsidP="00AA0109">
      <w:pPr>
        <w:pStyle w:val="Textbody"/>
      </w:pPr>
    </w:p>
    <w:p w14:paraId="1D3A7AC2" w14:textId="77777777" w:rsidR="00AA0109" w:rsidRDefault="00AA0109" w:rsidP="00AA0109">
      <w:pPr>
        <w:pStyle w:val="Textbody"/>
      </w:pPr>
    </w:p>
    <w:p w14:paraId="678427AF" w14:textId="77777777" w:rsidR="00AA0109" w:rsidRPr="00471C5D" w:rsidRDefault="00AA0109" w:rsidP="00AA0109">
      <w:pPr>
        <w:pStyle w:val="Textbody"/>
        <w:rPr>
          <w:b/>
          <w:i/>
          <w:sz w:val="22"/>
          <w:szCs w:val="22"/>
        </w:rPr>
      </w:pPr>
      <w:r w:rsidRPr="00471C5D">
        <w:rPr>
          <w:b/>
          <w:i/>
          <w:sz w:val="22"/>
          <w:szCs w:val="22"/>
        </w:rPr>
        <w:t>Assinado por: Fernando Haddad</w:t>
      </w:r>
    </w:p>
    <w:sectPr w:rsidR="00AA0109" w:rsidRPr="00471C5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06542" w14:textId="77777777" w:rsidR="003646DE" w:rsidRDefault="003646DE">
      <w:r>
        <w:separator/>
      </w:r>
    </w:p>
  </w:endnote>
  <w:endnote w:type="continuationSeparator" w:id="0">
    <w:p w14:paraId="73C5834B" w14:textId="77777777" w:rsidR="003646DE" w:rsidRDefault="0036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altName w:val="Malgun Gothic Semilight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E55E1" w14:textId="77777777" w:rsidR="003646DE" w:rsidRDefault="003646DE">
      <w:r>
        <w:rPr>
          <w:color w:val="000000"/>
        </w:rPr>
        <w:separator/>
      </w:r>
    </w:p>
  </w:footnote>
  <w:footnote w:type="continuationSeparator" w:id="0">
    <w:p w14:paraId="2983D345" w14:textId="77777777" w:rsidR="003646DE" w:rsidRDefault="00364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48"/>
    <w:rsid w:val="00161594"/>
    <w:rsid w:val="00196D9E"/>
    <w:rsid w:val="001B5DB3"/>
    <w:rsid w:val="003646DE"/>
    <w:rsid w:val="00457034"/>
    <w:rsid w:val="00483E48"/>
    <w:rsid w:val="004C0BB5"/>
    <w:rsid w:val="004D58DB"/>
    <w:rsid w:val="004F2C4E"/>
    <w:rsid w:val="005C31E2"/>
    <w:rsid w:val="005E0BC9"/>
    <w:rsid w:val="00680642"/>
    <w:rsid w:val="007E7C7D"/>
    <w:rsid w:val="00841A21"/>
    <w:rsid w:val="0090495E"/>
    <w:rsid w:val="00AA0109"/>
    <w:rsid w:val="00EC33A8"/>
    <w:rsid w:val="00F70D31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8A234"/>
  <w15:docId w15:val="{F49D4077-E622-4D6E-966B-E8F9706B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Heading"/>
    <w:next w:val="Textbody"/>
    <w:uiPriority w:val="9"/>
    <w:qFormat/>
    <w:pPr>
      <w:outlineLvl w:val="0"/>
    </w:pPr>
    <w:rPr>
      <w:rFonts w:ascii="Thorndale" w:eastAsia="HG Mincho Light J" w:hAnsi="Thorndale" w:cs="Arial Unicode MS"/>
      <w:b/>
      <w:bCs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pacing w:after="283"/>
    </w:pPr>
    <w:rPr>
      <w:sz w:val="12"/>
    </w:rPr>
  </w:style>
  <w:style w:type="paragraph" w:customStyle="1" w:styleId="Sender">
    <w:name w:val="Sender"/>
    <w:basedOn w:val="Standard"/>
    <w:rPr>
      <w:i/>
    </w:rPr>
  </w:style>
  <w:style w:type="paragraph" w:customStyle="1" w:styleId="TableContents">
    <w:name w:val="Table Contents"/>
    <w:basedOn w:val="Textbody"/>
  </w:style>
  <w:style w:type="paragraph" w:styleId="Rodap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paragraph" w:styleId="Reviso">
    <w:name w:val="Revision"/>
    <w:hidden/>
    <w:uiPriority w:val="99"/>
    <w:semiHidden/>
    <w:rsid w:val="004D58DB"/>
    <w:pPr>
      <w:widowControl/>
      <w:autoSpaceDN/>
      <w:textAlignment w:val="auto"/>
    </w:pPr>
    <w:rPr>
      <w:szCs w:val="21"/>
    </w:rPr>
  </w:style>
  <w:style w:type="paragraph" w:customStyle="1" w:styleId="15Prembulo">
    <w:name w:val="15 Preâmbulo"/>
    <w:basedOn w:val="Normal"/>
    <w:next w:val="Normal"/>
    <w:qFormat/>
    <w:rsid w:val="00841A21"/>
    <w:pPr>
      <w:widowControl/>
      <w:spacing w:after="120"/>
      <w:ind w:firstLine="1418"/>
      <w:jc w:val="both"/>
    </w:pPr>
    <w:rPr>
      <w:rFonts w:ascii="Calibri" w:eastAsia="Times New Roman" w:hAnsi="Calibri" w:cs="Times New Roman"/>
      <w:lang w:bidi="ar-SA"/>
    </w:rPr>
  </w:style>
  <w:style w:type="paragraph" w:customStyle="1" w:styleId="16ParteNormativa">
    <w:name w:val="16 Parte Normativa"/>
    <w:basedOn w:val="Normal"/>
    <w:qFormat/>
    <w:rsid w:val="00841A21"/>
    <w:pPr>
      <w:widowControl/>
      <w:spacing w:after="120"/>
      <w:ind w:firstLine="1418"/>
      <w:jc w:val="both"/>
    </w:pPr>
    <w:rPr>
      <w:rFonts w:ascii="Calibri" w:eastAsia="Times New Roman" w:hAnsi="Calibri" w:cs="Arial"/>
      <w:szCs w:val="20"/>
      <w:lang w:bidi="ar-SA"/>
    </w:rPr>
  </w:style>
  <w:style w:type="paragraph" w:customStyle="1" w:styleId="14Ementa">
    <w:name w:val="14 Ementa"/>
    <w:basedOn w:val="Normal"/>
    <w:link w:val="14EmentaChar"/>
    <w:qFormat/>
    <w:rsid w:val="00841A21"/>
    <w:pPr>
      <w:widowControl/>
      <w:spacing w:before="600" w:after="600"/>
      <w:ind w:left="5103"/>
      <w:jc w:val="both"/>
    </w:pPr>
    <w:rPr>
      <w:rFonts w:ascii="Calibri" w:eastAsia="Times New Roman" w:hAnsi="Calibri" w:cs="Times New Roman"/>
      <w:szCs w:val="20"/>
      <w:lang w:bidi="ar-SA"/>
    </w:rPr>
  </w:style>
  <w:style w:type="character" w:customStyle="1" w:styleId="14EmentaChar">
    <w:name w:val="14 Ementa Char"/>
    <w:basedOn w:val="Fontepargpadro"/>
    <w:link w:val="14Ementa"/>
    <w:rsid w:val="00841A21"/>
    <w:rPr>
      <w:rFonts w:ascii="Calibri" w:eastAsia="Times New Roman" w:hAnsi="Calibri" w:cs="Times New Roman"/>
      <w:szCs w:val="20"/>
      <w:lang w:bidi="ar-SA"/>
    </w:rPr>
  </w:style>
  <w:style w:type="paragraph" w:customStyle="1" w:styleId="4Alterao">
    <w:name w:val="4 Alteração"/>
    <w:basedOn w:val="Normal"/>
    <w:link w:val="4AlteraoChar"/>
    <w:qFormat/>
    <w:rsid w:val="00841A21"/>
    <w:pPr>
      <w:widowControl/>
      <w:autoSpaceDN/>
      <w:spacing w:after="120"/>
      <w:ind w:left="1418"/>
      <w:jc w:val="both"/>
      <w:textAlignment w:val="auto"/>
    </w:pPr>
    <w:rPr>
      <w:rFonts w:asciiTheme="minorHAnsi" w:eastAsia="Times New Roman" w:hAnsiTheme="minorHAnsi" w:cs="Times New Roman"/>
      <w:kern w:val="0"/>
      <w:lang w:val="pt-PT" w:bidi="ar-SA"/>
    </w:rPr>
  </w:style>
  <w:style w:type="character" w:customStyle="1" w:styleId="4AlteraoChar">
    <w:name w:val="4 Alteração Char"/>
    <w:basedOn w:val="Fontepargpadro"/>
    <w:link w:val="4Alterao"/>
    <w:rsid w:val="00841A21"/>
    <w:rPr>
      <w:rFonts w:asciiTheme="minorHAnsi" w:eastAsia="Times New Roman" w:hAnsiTheme="minorHAnsi" w:cs="Times New Roman"/>
      <w:kern w:val="0"/>
      <w:lang w:val="pt-P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2698</Words>
  <Characters>14573</Characters>
  <Application>Microsoft Office Word</Application>
  <DocSecurity>4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Edivaldo Soares de Sousa</dc:creator>
  <cp:lastModifiedBy>Sergio Viana Cavalcante</cp:lastModifiedBy>
  <cp:revision>2</cp:revision>
  <dcterms:created xsi:type="dcterms:W3CDTF">2024-06-04T16:53:00Z</dcterms:created>
  <dcterms:modified xsi:type="dcterms:W3CDTF">2024-06-04T16:53:00Z</dcterms:modified>
</cp:coreProperties>
</file>