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0A" w:rsidRDefault="005D250A">
      <w:pPr>
        <w:pStyle w:val="Textbody"/>
      </w:pPr>
    </w:p>
    <w:p w:rsidR="005D250A" w:rsidRDefault="0025001D">
      <w:pPr>
        <w:pStyle w:val="Textbody"/>
        <w:spacing w:before="567" w:after="0"/>
        <w:ind w:left="680"/>
      </w:pPr>
      <w:r>
        <w:t>EM n</w:t>
      </w:r>
      <w:r>
        <w:rPr>
          <w:strike/>
        </w:rPr>
        <w:t>º</w:t>
      </w:r>
      <w:r>
        <w:t xml:space="preserve"> 00024/2024 MPO</w:t>
      </w:r>
    </w:p>
    <w:p w:rsidR="005D250A" w:rsidRDefault="0025001D">
      <w:pPr>
        <w:pStyle w:val="Textbody"/>
      </w:pPr>
      <w:r>
        <w:t> </w:t>
      </w:r>
    </w:p>
    <w:p w:rsidR="005D250A" w:rsidRDefault="0025001D">
      <w:pPr>
        <w:pStyle w:val="PreformattedText"/>
        <w:spacing w:after="1701"/>
        <w:jc w:val="right"/>
        <w:rPr>
          <w:rFonts w:ascii="Times New Roman" w:hAnsi="Times New Roman"/>
          <w:sz w:val="24"/>
        </w:rPr>
      </w:pPr>
      <w:bookmarkStart w:id="0" w:name="_GoBack"/>
      <w:r>
        <w:rPr>
          <w:rFonts w:ascii="Times New Roman" w:hAnsi="Times New Roman"/>
          <w:sz w:val="24"/>
        </w:rPr>
        <w:t>Brasília, 29 de Abril de 2024</w:t>
      </w:r>
    </w:p>
    <w:bookmarkEnd w:id="0"/>
    <w:p w:rsidR="005D250A" w:rsidRDefault="0025001D">
      <w:pPr>
        <w:pStyle w:val="Textbody"/>
        <w:spacing w:before="113" w:after="567"/>
        <w:ind w:firstLine="1134"/>
      </w:pPr>
      <w:r>
        <w:t>Senhor Presidente da República,</w:t>
      </w:r>
    </w:p>
    <w:p w:rsidR="005D250A" w:rsidRDefault="0025001D">
      <w:pPr>
        <w:pStyle w:val="Textbody"/>
        <w:spacing w:after="200"/>
        <w:jc w:val="both"/>
      </w:pPr>
      <w:r>
        <w:t>1.                Proponho a abertura de crédito suplementar ao Orçamento Fiscal da União (Lei nº 14.822, de 22 de janeiro de 2024), no valor de R$ 426.220.771,00 (quatrocentos e vinte e seis milhões, duzentos e vinte mil, setecentos e setenta e um reais), em favor do Tribunal de Contas da União, da Justiça do Trabalho, e do Ministério Público da União, conforme Quadro anexo a esta Exposição de Motivos.</w:t>
      </w:r>
    </w:p>
    <w:p w:rsidR="005D250A" w:rsidRDefault="0025001D">
      <w:pPr>
        <w:pStyle w:val="Textbody"/>
        <w:spacing w:after="200"/>
        <w:jc w:val="both"/>
      </w:pPr>
      <w:r>
        <w:t>2.                O crédito em pauta tem por objetivo fazer frente ao atendimento de despesas com Pessoal e Encargos Sociais, com a adequação dos recursos da ação 20TP - “Ativos Civis da União” às suas atuais necessidades de execução, no âmbito dos mencionados Órgãos.</w:t>
      </w:r>
    </w:p>
    <w:p w:rsidR="005D250A" w:rsidRDefault="0025001D">
      <w:pPr>
        <w:pStyle w:val="Textbody"/>
        <w:spacing w:after="200"/>
        <w:jc w:val="both"/>
      </w:pPr>
      <w: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5D250A" w:rsidRDefault="0025001D">
      <w:pPr>
        <w:pStyle w:val="Textbody"/>
        <w:spacing w:after="200"/>
        <w:jc w:val="both"/>
      </w:pPr>
      <w:r>
        <w:t>4.                No que se refere à obtenção da meta de resultado primário fixada para o corrente exercício, bem como aos limites individualizados para as despesas primárias, conforme o art. 3º da Lei Complementar nº 200, de 30 de agosto de 2023, vale informar, nos termos do art. 54, § 4º, da Lei nº 14.791, de 29 de dezembro de 2023, Lei de Diretrizes Orçamentárias para 2024, LDO-2024, que o crédito em questão está de acordo com o teor dos citados dispositivos.</w:t>
      </w:r>
    </w:p>
    <w:p w:rsidR="005D250A" w:rsidRDefault="0025001D">
      <w:pPr>
        <w:pStyle w:val="Textbody"/>
        <w:spacing w:after="200"/>
        <w:jc w:val="both"/>
      </w:pPr>
      <w:r>
        <w:t>5.                Cabe mencionar, em relação ao disposto no inciso III do caput do art. 167 da Constituição Federal, "Regra de Ouro", que a alteração proposta reduz gastos com investimentos (GND 4) sem a correspondente redução da estimativa de receitas com operações de crédito, afetando negativamente o cumprimento da regra. Contudo, vale esclarecer que não restam mais receitas de operações de crédito condicionadas na LOA-2024, o que afasta a aplicação do disposto no § 1º do art. 64 da LDO-2024, devendo-se observar o disposto no § 2º do referido artigo, o qual dispõe que, após a redução do total de despesas condicionadas na forma prevista no § 3º do art. 22 da LDO-2024, eventual diferença entre as receitas de operações de crédito e as despesas de capital deverá ser adequada até o encerramento do exercício.</w:t>
      </w:r>
    </w:p>
    <w:p w:rsidR="005D250A" w:rsidRDefault="0025001D">
      <w:pPr>
        <w:pStyle w:val="Textbody"/>
        <w:spacing w:after="200"/>
        <w:jc w:val="both"/>
      </w:pPr>
      <w:r>
        <w:t>6.                Em atendimento ao § 18 do art. 54 da LDO-2024, segue anexo o demonstrativo de desvios de valores cancelados neste crédito que ultrapassam vinte por cento do valor inicialmente estabelecido na Lei Orçamentária de 2024 para as referidas categorias.</w:t>
      </w:r>
    </w:p>
    <w:p w:rsidR="005D250A" w:rsidRDefault="0025001D">
      <w:pPr>
        <w:pStyle w:val="Textbody"/>
        <w:spacing w:after="200"/>
        <w:jc w:val="both"/>
      </w:pPr>
      <w:r>
        <w:t xml:space="preserve">7.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uma vez que os remanejamentos foram decididos com base em projeções de suas </w:t>
      </w:r>
      <w:r>
        <w:lastRenderedPageBreak/>
        <w:t>possibilidades de dispêndio até o final do exercício, inclusive quanto à dotação ora cancelada em Reserva de Contingência, no âmbito do Tribunal de Contas da União, pois se refere a reserva para utilização em despesas de pessoal e encargos.</w:t>
      </w:r>
    </w:p>
    <w:p w:rsidR="005D250A" w:rsidRDefault="0025001D">
      <w:pPr>
        <w:pStyle w:val="Textbody"/>
        <w:spacing w:after="200"/>
        <w:jc w:val="both"/>
      </w:pPr>
      <w:r>
        <w:t>8.                Diante do exposto, submeto à sua consideração o anexo Projeto de Lei, que visa efetivar a abertura de crédito suplementar.</w:t>
      </w:r>
    </w:p>
    <w:p w:rsidR="005D250A" w:rsidRDefault="0025001D">
      <w:pPr>
        <w:pStyle w:val="Textbody"/>
        <w:spacing w:after="1417"/>
        <w:ind w:firstLine="1134"/>
      </w:pPr>
      <w:r>
        <w:t>Respeitosamente,</w:t>
      </w:r>
    </w:p>
    <w:p w:rsidR="005D250A" w:rsidRDefault="005D250A">
      <w:pPr>
        <w:pStyle w:val="Textbody"/>
        <w:spacing w:after="0"/>
        <w:jc w:val="center"/>
      </w:pPr>
    </w:p>
    <w:p w:rsidR="005D250A" w:rsidRDefault="0025001D">
      <w:pPr>
        <w:pStyle w:val="Textbody"/>
      </w:pPr>
      <w:r>
        <w:t> </w:t>
      </w:r>
    </w:p>
    <w:p w:rsidR="005D250A" w:rsidRDefault="0025001D">
      <w:pPr>
        <w:pStyle w:val="Textbody"/>
      </w:pPr>
      <w:r>
        <w:t> </w:t>
      </w: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5D250A" w:rsidRDefault="005D250A">
      <w:pPr>
        <w:pStyle w:val="Standard"/>
        <w:ind w:left="567" w:right="284"/>
        <w:rPr>
          <w:b/>
        </w:rPr>
      </w:pPr>
    </w:p>
    <w:p w:rsidR="0025001D" w:rsidRDefault="0025001D">
      <w:pPr>
        <w:pStyle w:val="Standard"/>
        <w:ind w:left="567" w:right="284"/>
        <w:rPr>
          <w:b/>
          <w:i/>
          <w:sz w:val="22"/>
        </w:rPr>
        <w:sectPr w:rsidR="0025001D">
          <w:pgSz w:w="11906" w:h="16838"/>
          <w:pgMar w:top="1134" w:right="1134" w:bottom="1134" w:left="1134" w:header="720" w:footer="720" w:gutter="0"/>
          <w:cols w:space="720"/>
        </w:sectPr>
      </w:pPr>
      <w:r>
        <w:rPr>
          <w:b/>
          <w:i/>
          <w:sz w:val="22"/>
        </w:rPr>
        <w:t>Assinado eletronicamente por: Simone Nassar Tebet</w:t>
      </w:r>
    </w:p>
    <w:p w:rsidR="0025001D" w:rsidRDefault="0025001D">
      <w:pPr>
        <w:ind w:right="-1"/>
        <w:jc w:val="center"/>
      </w:pPr>
      <w:r>
        <w:rPr>
          <w:rFonts w:ascii="Calibri" w:hAnsi="Calibri" w:cs="font325"/>
          <w:spacing w:val="-3"/>
        </w:rPr>
        <w:t>QUADRO ANEXO À EXPOSIÇÃO DE MOTIVOS DO MINISTÉRIO DO PLANEJAMENTO E ORÇAMENTO</w:t>
      </w:r>
      <w:r>
        <w:rPr>
          <w:rFonts w:ascii="Calibri" w:hAnsi="Calibri" w:cs="font325"/>
          <w:spacing w:val="-3"/>
        </w:rPr>
        <w:br/>
        <w:t>N</w:t>
      </w:r>
      <w:r>
        <w:rPr>
          <w:rFonts w:ascii="Calibri" w:hAnsi="Calibri" w:cs="font325"/>
          <w:u w:val="single"/>
          <w:vertAlign w:val="superscript"/>
        </w:rPr>
        <w:t>o</w:t>
      </w:r>
      <w:r>
        <w:rPr>
          <w:rFonts w:ascii="Calibri" w:hAnsi="Calibri" w:cs="font325"/>
          <w:spacing w:val="-3"/>
        </w:rPr>
        <w:t xml:space="preserve"> 24, DE 29/04/202</w:t>
      </w:r>
      <w:r>
        <w:rPr>
          <w:rFonts w:ascii="Calibri" w:hAnsi="Calibri" w:cs="font325"/>
        </w:rPr>
        <w:t>4</w:t>
      </w:r>
    </w:p>
    <w:p w:rsidR="0025001D" w:rsidRDefault="0025001D">
      <w:pPr>
        <w:jc w:val="right"/>
        <w:rPr>
          <w:rFonts w:ascii="Calibri" w:hAnsi="Calibri" w:cs="Calibri"/>
        </w:rPr>
      </w:pPr>
    </w:p>
    <w:p w:rsidR="0025001D" w:rsidRDefault="0025001D">
      <w:pPr>
        <w:jc w:val="right"/>
        <w:rPr>
          <w:rFonts w:ascii="Calibri" w:hAnsi="Calibri" w:cs="Calibri"/>
        </w:rPr>
      </w:pPr>
    </w:p>
    <w:p w:rsidR="0025001D" w:rsidRDefault="0025001D">
      <w:pPr>
        <w:jc w:val="right"/>
      </w:pPr>
      <w:r>
        <w:rPr>
          <w:rFonts w:ascii="Calibri" w:hAnsi="Calibri" w:cs="Calibri"/>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25001D">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25001D" w:rsidRDefault="0025001D">
            <w:pPr>
              <w:jc w:val="center"/>
            </w:pPr>
            <w:r>
              <w:rPr>
                <w:rFonts w:ascii="Calibri" w:hAnsi="Calibri" w:cs="Calibri"/>
                <w:b/>
                <w:bCs/>
                <w:color w:val="00000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25001D" w:rsidRDefault="0025001D">
            <w:pPr>
              <w:jc w:val="center"/>
            </w:pPr>
            <w:r>
              <w:rPr>
                <w:rFonts w:ascii="Calibri" w:hAnsi="Calibri" w:cs="Calibri"/>
                <w:b/>
                <w:bCs/>
                <w:color w:val="000000"/>
              </w:rPr>
              <w:t>Suplementação</w:t>
            </w:r>
          </w:p>
        </w:tc>
        <w:tc>
          <w:tcPr>
            <w:tcW w:w="1732" w:type="dxa"/>
            <w:tcBorders>
              <w:top w:val="single" w:sz="4" w:space="0" w:color="000000"/>
              <w:bottom w:val="single" w:sz="4" w:space="0" w:color="000000"/>
            </w:tcBorders>
            <w:shd w:val="clear" w:color="auto" w:fill="FFFFFF"/>
            <w:vAlign w:val="center"/>
          </w:tcPr>
          <w:p w:rsidR="0025001D" w:rsidRDefault="0025001D">
            <w:pPr>
              <w:jc w:val="center"/>
            </w:pPr>
            <w:r>
              <w:rPr>
                <w:rFonts w:ascii="Calibri" w:hAnsi="Calibri" w:cs="Calibri"/>
                <w:b/>
                <w:bCs/>
                <w:color w:val="000000"/>
              </w:rPr>
              <w:t>Origem dos Recursos</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hAnsi="Calibri" w:cs="font325"/>
                <w:b/>
                <w:bCs/>
                <w:color w:val="000000"/>
              </w:rPr>
              <w:t>Tribunal de Contas da União</w:t>
            </w:r>
          </w:p>
        </w:tc>
        <w:tc>
          <w:tcPr>
            <w:tcW w:w="1717" w:type="dxa"/>
            <w:tcBorders>
              <w:right w:val="single" w:sz="4" w:space="0" w:color="000000"/>
            </w:tcBorders>
            <w:shd w:val="clear" w:color="auto" w:fill="FFFFFF"/>
          </w:tcPr>
          <w:p w:rsidR="0025001D" w:rsidRDefault="0025001D">
            <w:pPr>
              <w:jc w:val="right"/>
            </w:pPr>
            <w:r>
              <w:rPr>
                <w:rFonts w:ascii="Calibri" w:hAnsi="Calibri" w:cs="font325"/>
                <w:b/>
                <w:bCs/>
                <w:color w:val="000000"/>
              </w:rPr>
              <w:t>961.522</w:t>
            </w:r>
          </w:p>
        </w:tc>
        <w:tc>
          <w:tcPr>
            <w:tcW w:w="1732" w:type="dxa"/>
            <w:shd w:val="clear" w:color="auto" w:fill="FFFFFF"/>
          </w:tcPr>
          <w:p w:rsidR="0025001D" w:rsidRDefault="0025001D">
            <w:pPr>
              <w:jc w:val="right"/>
            </w:pPr>
            <w:r>
              <w:rPr>
                <w:rFonts w:ascii="Calibri" w:hAnsi="Calibri" w:cs="font325"/>
                <w:b/>
                <w:bCs/>
                <w:color w:val="000000"/>
              </w:rPr>
              <w:t>961.522</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Tribunal de Contas da União</w:t>
            </w:r>
            <w:r>
              <w:rPr>
                <w:rFonts w:ascii="Calibri" w:eastAsia="font325" w:hAnsi="Calibri" w:cs="font325"/>
                <w:lang w:eastAsia="en-US"/>
              </w:rPr>
              <w:t xml:space="preserve"> </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961.522</w:t>
            </w:r>
          </w:p>
        </w:tc>
        <w:tc>
          <w:tcPr>
            <w:tcW w:w="1732" w:type="dxa"/>
            <w:shd w:val="clear" w:color="auto" w:fill="FFFFFF"/>
          </w:tcPr>
          <w:p w:rsidR="0025001D" w:rsidRDefault="0025001D">
            <w:pPr>
              <w:jc w:val="right"/>
            </w:pPr>
            <w:r>
              <w:rPr>
                <w:rFonts w:ascii="Calibri" w:eastAsia="font325" w:hAnsi="Calibri" w:cs="font325"/>
                <w:lang w:eastAsia="en-US"/>
              </w:rPr>
              <w:t>961.522</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pPr>
              <w:rPr>
                <w:rFonts w:ascii="Calibri" w:hAnsi="Calibri" w:cs="font325"/>
                <w:b/>
                <w:bCs/>
                <w:color w:val="000000"/>
              </w:rPr>
            </w:pPr>
          </w:p>
        </w:tc>
        <w:tc>
          <w:tcPr>
            <w:tcW w:w="1717" w:type="dxa"/>
            <w:tcBorders>
              <w:right w:val="single" w:sz="4" w:space="0" w:color="000000"/>
            </w:tcBorders>
            <w:shd w:val="clear" w:color="auto" w:fill="FFFFFF"/>
          </w:tcPr>
          <w:p w:rsidR="0025001D" w:rsidRDefault="0025001D">
            <w:pPr>
              <w:jc w:val="right"/>
              <w:rPr>
                <w:rFonts w:ascii="Calibri" w:eastAsia="font325" w:hAnsi="Calibri" w:cs="font325"/>
                <w:lang w:eastAsia="en-US"/>
              </w:rPr>
            </w:pPr>
          </w:p>
        </w:tc>
        <w:tc>
          <w:tcPr>
            <w:tcW w:w="1732" w:type="dxa"/>
            <w:shd w:val="clear" w:color="auto" w:fill="FFFFFF"/>
          </w:tcPr>
          <w:p w:rsidR="0025001D" w:rsidRDefault="0025001D">
            <w:pPr>
              <w:jc w:val="right"/>
              <w:rPr>
                <w:rFonts w:ascii="Calibri" w:eastAsia="font325" w:hAnsi="Calibri" w:cs="font325"/>
                <w:lang w:eastAsia="en-US"/>
              </w:rPr>
            </w:pP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hAnsi="Calibri" w:cs="font325"/>
                <w:b/>
                <w:bCs/>
                <w:color w:val="000000"/>
              </w:rPr>
              <w:t>Justiça do Trabalho</w:t>
            </w:r>
          </w:p>
        </w:tc>
        <w:tc>
          <w:tcPr>
            <w:tcW w:w="1717" w:type="dxa"/>
            <w:tcBorders>
              <w:right w:val="single" w:sz="4" w:space="0" w:color="000000"/>
            </w:tcBorders>
            <w:shd w:val="clear" w:color="auto" w:fill="FFFFFF"/>
          </w:tcPr>
          <w:p w:rsidR="0025001D" w:rsidRDefault="0025001D">
            <w:pPr>
              <w:jc w:val="right"/>
            </w:pPr>
            <w:r>
              <w:rPr>
                <w:rFonts w:ascii="Calibri" w:hAnsi="Calibri" w:cs="font325"/>
                <w:b/>
                <w:bCs/>
                <w:color w:val="000000"/>
              </w:rPr>
              <w:t>405.903.449</w:t>
            </w:r>
          </w:p>
        </w:tc>
        <w:tc>
          <w:tcPr>
            <w:tcW w:w="1732" w:type="dxa"/>
            <w:shd w:val="clear" w:color="auto" w:fill="FFFFFF"/>
          </w:tcPr>
          <w:p w:rsidR="0025001D" w:rsidRDefault="0025001D">
            <w:pPr>
              <w:jc w:val="right"/>
            </w:pPr>
            <w:r>
              <w:rPr>
                <w:rFonts w:ascii="Calibri" w:hAnsi="Calibri" w:cs="font325"/>
                <w:b/>
                <w:bCs/>
                <w:color w:val="000000"/>
              </w:rPr>
              <w:t>405.903.449</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 xml:space="preserve">Tribunal Superior do Trabalho </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405.903.449</w:t>
            </w:r>
          </w:p>
        </w:tc>
        <w:tc>
          <w:tcPr>
            <w:tcW w:w="1732" w:type="dxa"/>
            <w:shd w:val="clear" w:color="auto" w:fill="FFFFFF"/>
          </w:tcPr>
          <w:p w:rsidR="0025001D" w:rsidRDefault="0025001D">
            <w:pPr>
              <w:jc w:val="right"/>
            </w:pPr>
            <w:r>
              <w:rPr>
                <w:rFonts w:ascii="Calibri" w:eastAsia="font325" w:hAnsi="Calibri" w:cs="font325"/>
                <w:lang w:eastAsia="en-US"/>
              </w:rPr>
              <w:t>0</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Conselho Superior da Justiça do Trabalho</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0</w:t>
            </w:r>
          </w:p>
        </w:tc>
        <w:tc>
          <w:tcPr>
            <w:tcW w:w="1732" w:type="dxa"/>
            <w:shd w:val="clear" w:color="auto" w:fill="FFFFFF"/>
          </w:tcPr>
          <w:p w:rsidR="0025001D" w:rsidRDefault="0025001D">
            <w:pPr>
              <w:jc w:val="right"/>
            </w:pPr>
            <w:r>
              <w:rPr>
                <w:rFonts w:ascii="Calibri" w:eastAsia="font325" w:hAnsi="Calibri" w:cs="font325"/>
                <w:lang w:eastAsia="en-US"/>
              </w:rPr>
              <w:t>405.903.449</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pPr>
              <w:rPr>
                <w:rFonts w:ascii="Calibri" w:hAnsi="Calibri" w:cs="font325"/>
                <w:b/>
                <w:bCs/>
                <w:color w:val="000000"/>
              </w:rPr>
            </w:pPr>
          </w:p>
        </w:tc>
        <w:tc>
          <w:tcPr>
            <w:tcW w:w="1717" w:type="dxa"/>
            <w:tcBorders>
              <w:right w:val="single" w:sz="4" w:space="0" w:color="000000"/>
            </w:tcBorders>
            <w:shd w:val="clear" w:color="auto" w:fill="FFFFFF"/>
          </w:tcPr>
          <w:p w:rsidR="0025001D" w:rsidRDefault="0025001D">
            <w:pPr>
              <w:jc w:val="right"/>
              <w:rPr>
                <w:rFonts w:ascii="Calibri" w:eastAsia="font325" w:hAnsi="Calibri" w:cs="font325"/>
                <w:lang w:eastAsia="en-US"/>
              </w:rPr>
            </w:pPr>
          </w:p>
        </w:tc>
        <w:tc>
          <w:tcPr>
            <w:tcW w:w="1732" w:type="dxa"/>
            <w:shd w:val="clear" w:color="auto" w:fill="FFFFFF"/>
          </w:tcPr>
          <w:p w:rsidR="0025001D" w:rsidRDefault="0025001D">
            <w:pPr>
              <w:jc w:val="right"/>
              <w:rPr>
                <w:rFonts w:ascii="Calibri" w:eastAsia="font325" w:hAnsi="Calibri" w:cs="font325"/>
                <w:lang w:eastAsia="en-US"/>
              </w:rPr>
            </w:pP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hAnsi="Calibri" w:cs="font325"/>
                <w:b/>
                <w:bCs/>
                <w:color w:val="000000"/>
              </w:rPr>
              <w:t>Ministério Público da União</w:t>
            </w:r>
          </w:p>
        </w:tc>
        <w:tc>
          <w:tcPr>
            <w:tcW w:w="1717" w:type="dxa"/>
            <w:tcBorders>
              <w:right w:val="single" w:sz="4" w:space="0" w:color="000000"/>
            </w:tcBorders>
            <w:shd w:val="clear" w:color="auto" w:fill="FFFFFF"/>
          </w:tcPr>
          <w:p w:rsidR="0025001D" w:rsidRDefault="0025001D">
            <w:pPr>
              <w:jc w:val="right"/>
            </w:pPr>
            <w:r>
              <w:rPr>
                <w:rFonts w:ascii="Calibri" w:hAnsi="Calibri" w:cs="font325"/>
                <w:b/>
                <w:bCs/>
                <w:color w:val="000000"/>
              </w:rPr>
              <w:t>19.355.800</w:t>
            </w:r>
          </w:p>
        </w:tc>
        <w:tc>
          <w:tcPr>
            <w:tcW w:w="1732" w:type="dxa"/>
            <w:shd w:val="clear" w:color="auto" w:fill="FFFFFF"/>
          </w:tcPr>
          <w:p w:rsidR="0025001D" w:rsidRDefault="0025001D">
            <w:pPr>
              <w:jc w:val="right"/>
            </w:pPr>
            <w:r>
              <w:rPr>
                <w:rFonts w:ascii="Calibri" w:hAnsi="Calibri" w:cs="font325"/>
                <w:b/>
                <w:bCs/>
                <w:color w:val="000000"/>
              </w:rPr>
              <w:t>19.355.800</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Ministério Público Federal</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2.113.000</w:t>
            </w:r>
          </w:p>
        </w:tc>
        <w:tc>
          <w:tcPr>
            <w:tcW w:w="1732" w:type="dxa"/>
            <w:shd w:val="clear" w:color="auto" w:fill="FFFFFF"/>
          </w:tcPr>
          <w:p w:rsidR="0025001D" w:rsidRDefault="0025001D">
            <w:pPr>
              <w:jc w:val="right"/>
            </w:pPr>
            <w:r>
              <w:rPr>
                <w:rFonts w:ascii="Calibri" w:eastAsia="font325" w:hAnsi="Calibri" w:cs="font325"/>
                <w:lang w:eastAsia="en-US"/>
              </w:rPr>
              <w:t>2.113.000</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Ministério Público Militar</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1.500.000</w:t>
            </w:r>
          </w:p>
        </w:tc>
        <w:tc>
          <w:tcPr>
            <w:tcW w:w="1732" w:type="dxa"/>
            <w:shd w:val="clear" w:color="auto" w:fill="FFFFFF"/>
          </w:tcPr>
          <w:p w:rsidR="0025001D" w:rsidRDefault="0025001D">
            <w:pPr>
              <w:jc w:val="right"/>
            </w:pPr>
            <w:r>
              <w:rPr>
                <w:rFonts w:ascii="Calibri" w:eastAsia="font325" w:hAnsi="Calibri" w:cs="font325"/>
                <w:lang w:eastAsia="en-US"/>
              </w:rPr>
              <w:t>1.500.000</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Ministério Público do Distrito Federal e dos Territórios</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3.492.800</w:t>
            </w:r>
          </w:p>
        </w:tc>
        <w:tc>
          <w:tcPr>
            <w:tcW w:w="1732" w:type="dxa"/>
            <w:shd w:val="clear" w:color="auto" w:fill="FFFFFF"/>
          </w:tcPr>
          <w:p w:rsidR="0025001D" w:rsidRDefault="0025001D">
            <w:pPr>
              <w:jc w:val="right"/>
            </w:pPr>
            <w:r>
              <w:rPr>
                <w:rFonts w:ascii="Calibri" w:eastAsia="font325" w:hAnsi="Calibri" w:cs="font325"/>
                <w:lang w:eastAsia="en-US"/>
              </w:rPr>
              <w:t>3.492.800</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r>
              <w:rPr>
                <w:rFonts w:ascii="Calibri" w:eastAsia="Calibri" w:hAnsi="Calibri" w:cs="Calibri"/>
              </w:rPr>
              <w:t>Ministério Público do Trabalho</w:t>
            </w:r>
          </w:p>
        </w:tc>
        <w:tc>
          <w:tcPr>
            <w:tcW w:w="1717" w:type="dxa"/>
            <w:tcBorders>
              <w:right w:val="single" w:sz="4" w:space="0" w:color="000000"/>
            </w:tcBorders>
            <w:shd w:val="clear" w:color="auto" w:fill="FFFFFF"/>
          </w:tcPr>
          <w:p w:rsidR="0025001D" w:rsidRDefault="0025001D">
            <w:pPr>
              <w:jc w:val="right"/>
            </w:pPr>
            <w:r>
              <w:rPr>
                <w:rFonts w:ascii="Calibri" w:eastAsia="font325" w:hAnsi="Calibri" w:cs="font325"/>
                <w:lang w:eastAsia="en-US"/>
              </w:rPr>
              <w:t>12.250.000</w:t>
            </w:r>
          </w:p>
        </w:tc>
        <w:tc>
          <w:tcPr>
            <w:tcW w:w="1732" w:type="dxa"/>
            <w:shd w:val="clear" w:color="auto" w:fill="FFFFFF"/>
          </w:tcPr>
          <w:p w:rsidR="0025001D" w:rsidRDefault="0025001D">
            <w:pPr>
              <w:jc w:val="right"/>
            </w:pPr>
            <w:r>
              <w:rPr>
                <w:rFonts w:ascii="Calibri" w:eastAsia="font325" w:hAnsi="Calibri" w:cs="font325"/>
                <w:lang w:eastAsia="en-US"/>
              </w:rPr>
              <w:t>12.250.000</w:t>
            </w:r>
          </w:p>
        </w:tc>
      </w:tr>
      <w:tr w:rsidR="0025001D">
        <w:trPr>
          <w:trHeight w:val="284"/>
        </w:trPr>
        <w:tc>
          <w:tcPr>
            <w:tcW w:w="6096" w:type="dxa"/>
            <w:tcBorders>
              <w:right w:val="single" w:sz="4" w:space="0" w:color="000000"/>
            </w:tcBorders>
            <w:shd w:val="clear" w:color="auto" w:fill="FFFFFF"/>
            <w:tcMar>
              <w:left w:w="425" w:type="dxa"/>
            </w:tcMar>
          </w:tcPr>
          <w:p w:rsidR="0025001D" w:rsidRDefault="0025001D">
            <w:pPr>
              <w:rPr>
                <w:rFonts w:ascii="Calibri" w:eastAsia="font325" w:hAnsi="Calibri" w:cs="font325"/>
                <w:lang w:eastAsia="en-US"/>
              </w:rPr>
            </w:pPr>
          </w:p>
        </w:tc>
        <w:tc>
          <w:tcPr>
            <w:tcW w:w="1717" w:type="dxa"/>
            <w:tcBorders>
              <w:right w:val="single" w:sz="4" w:space="0" w:color="000000"/>
            </w:tcBorders>
            <w:shd w:val="clear" w:color="auto" w:fill="FFFFFF"/>
          </w:tcPr>
          <w:p w:rsidR="0025001D" w:rsidRDefault="0025001D">
            <w:pPr>
              <w:jc w:val="right"/>
              <w:rPr>
                <w:rFonts w:ascii="Calibri" w:eastAsia="font325" w:hAnsi="Calibri" w:cs="font325"/>
                <w:lang w:eastAsia="en-US"/>
              </w:rPr>
            </w:pPr>
          </w:p>
        </w:tc>
        <w:tc>
          <w:tcPr>
            <w:tcW w:w="1732" w:type="dxa"/>
            <w:shd w:val="clear" w:color="auto" w:fill="FFFFFF"/>
          </w:tcPr>
          <w:p w:rsidR="0025001D" w:rsidRDefault="0025001D">
            <w:pPr>
              <w:jc w:val="right"/>
              <w:rPr>
                <w:rFonts w:ascii="Calibri" w:eastAsia="font325" w:hAnsi="Calibri" w:cs="font325"/>
                <w:lang w:eastAsia="en-US"/>
              </w:rPr>
            </w:pPr>
          </w:p>
        </w:tc>
      </w:tr>
      <w:tr w:rsidR="0025001D">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25001D" w:rsidRDefault="0025001D">
            <w:r>
              <w:rPr>
                <w:rFonts w:ascii="Calibri" w:hAnsi="Calibri" w:cs="Calibri"/>
                <w:b/>
                <w:color w:val="00000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25001D" w:rsidRDefault="0025001D">
            <w:pPr>
              <w:jc w:val="right"/>
            </w:pPr>
            <w:r>
              <w:rPr>
                <w:rFonts w:ascii="Calibri" w:hAnsi="Calibri" w:cs="font325"/>
                <w:b/>
                <w:bCs/>
                <w:color w:val="000000"/>
                <w:shd w:val="clear" w:color="auto" w:fill="F5F5F5"/>
              </w:rPr>
              <w:t>426.220.771</w:t>
            </w:r>
          </w:p>
        </w:tc>
        <w:tc>
          <w:tcPr>
            <w:tcW w:w="1732" w:type="dxa"/>
            <w:tcBorders>
              <w:top w:val="single" w:sz="4" w:space="0" w:color="000000"/>
              <w:bottom w:val="single" w:sz="4" w:space="0" w:color="000000"/>
            </w:tcBorders>
            <w:shd w:val="clear" w:color="auto" w:fill="FFFFFF"/>
            <w:vAlign w:val="center"/>
          </w:tcPr>
          <w:p w:rsidR="0025001D" w:rsidRDefault="0025001D">
            <w:pPr>
              <w:jc w:val="right"/>
            </w:pPr>
            <w:r>
              <w:rPr>
                <w:rFonts w:ascii="Calibri" w:hAnsi="Calibri" w:cs="font325"/>
                <w:b/>
                <w:bCs/>
                <w:color w:val="000000"/>
                <w:shd w:val="clear" w:color="auto" w:fill="F5F5F5"/>
              </w:rPr>
              <w:t>426.220.771</w:t>
            </w:r>
          </w:p>
        </w:tc>
      </w:tr>
    </w:tbl>
    <w:p w:rsidR="0025001D" w:rsidRDefault="0025001D">
      <w:pPr>
        <w:tabs>
          <w:tab w:val="left" w:pos="426"/>
        </w:tabs>
      </w:pPr>
    </w:p>
    <w:p w:rsidR="0025001D" w:rsidRDefault="0025001D">
      <w:pPr>
        <w:pStyle w:val="Standard"/>
        <w:ind w:left="567" w:right="284"/>
        <w:rPr>
          <w:b/>
          <w:i/>
          <w:sz w:val="22"/>
        </w:rPr>
        <w:sectPr w:rsidR="0025001D" w:rsidSect="00800CDB">
          <w:pgSz w:w="11906" w:h="16838"/>
          <w:pgMar w:top="1134" w:right="1134" w:bottom="1134" w:left="1134" w:header="720" w:footer="720" w:gutter="0"/>
          <w:cols w:space="720"/>
        </w:sectPr>
      </w:pPr>
    </w:p>
    <w:tbl>
      <w:tblPr>
        <w:tblW w:w="16159" w:type="dxa"/>
        <w:tblInd w:w="-284" w:type="dxa"/>
        <w:tblLayout w:type="fixed"/>
        <w:tblCellMar>
          <w:left w:w="10" w:type="dxa"/>
          <w:right w:w="10" w:type="dxa"/>
        </w:tblCellMar>
        <w:tblLook w:val="0000" w:firstRow="0" w:lastRow="0" w:firstColumn="0" w:lastColumn="0" w:noHBand="0" w:noVBand="0"/>
      </w:tblPr>
      <w:tblGrid>
        <w:gridCol w:w="40"/>
        <w:gridCol w:w="40"/>
        <w:gridCol w:w="1039"/>
        <w:gridCol w:w="561"/>
        <w:gridCol w:w="800"/>
        <w:gridCol w:w="3479"/>
        <w:gridCol w:w="440"/>
        <w:gridCol w:w="1600"/>
        <w:gridCol w:w="1121"/>
        <w:gridCol w:w="480"/>
        <w:gridCol w:w="779"/>
        <w:gridCol w:w="821"/>
        <w:gridCol w:w="1600"/>
        <w:gridCol w:w="480"/>
        <w:gridCol w:w="1120"/>
        <w:gridCol w:w="919"/>
        <w:gridCol w:w="760"/>
        <w:gridCol w:w="40"/>
        <w:gridCol w:w="40"/>
      </w:tblGrid>
      <w:tr w:rsidR="0025001D" w:rsidTr="0025001D">
        <w:tc>
          <w:tcPr>
            <w:tcW w:w="40" w:type="dxa"/>
            <w:shd w:val="clear" w:color="auto" w:fill="auto"/>
          </w:tcPr>
          <w:p w:rsidR="0025001D" w:rsidRDefault="0025001D">
            <w:pPr>
              <w:pStyle w:val="EMPTYCELLSTYLE"/>
              <w:widowControl w:val="0"/>
            </w:pPr>
            <w:bookmarkStart w:id="1" w:name="JR_PAGE_ANCHOR_0_1"/>
            <w:bookmarkEnd w:id="1"/>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300"/>
        </w:trPr>
        <w:tc>
          <w:tcPr>
            <w:tcW w:w="40" w:type="dxa"/>
            <w:shd w:val="clear" w:color="auto" w:fill="auto"/>
          </w:tcPr>
          <w:p w:rsidR="0025001D" w:rsidRDefault="0025001D">
            <w:pPr>
              <w:pStyle w:val="EMPTYCELLSTYLE"/>
              <w:widowControl w:val="0"/>
            </w:pPr>
          </w:p>
        </w:tc>
        <w:tc>
          <w:tcPr>
            <w:tcW w:w="1079" w:type="dxa"/>
            <w:gridSpan w:val="2"/>
            <w:vMerge w:val="restart"/>
            <w:shd w:val="clear" w:color="auto" w:fill="auto"/>
            <w:tcMar>
              <w:left w:w="0" w:type="dxa"/>
              <w:right w:w="0" w:type="dxa"/>
            </w:tcMar>
          </w:tcPr>
          <w:p w:rsidR="0025001D" w:rsidRDefault="00F522C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52.95pt;height:52.55pt;z-index:251659264;mso-wrap-distance-left:0;mso-wrap-distance-right:0;mso-position-horizontal-relative:text;mso-position-vertical-relative:text" filled="t">
                  <v:fill opacity="0" color2="black"/>
                  <v:imagedata r:id="rId6" o:title=""/>
                </v:shape>
              </w:pict>
            </w:r>
          </w:p>
        </w:tc>
        <w:tc>
          <w:tcPr>
            <w:tcW w:w="8001" w:type="dxa"/>
            <w:gridSpan w:val="6"/>
            <w:shd w:val="clear" w:color="auto" w:fill="auto"/>
            <w:tcMar>
              <w:left w:w="200" w:type="dxa"/>
              <w:right w:w="0" w:type="dxa"/>
            </w:tcMar>
            <w:vAlign w:val="center"/>
          </w:tcPr>
          <w:p w:rsidR="0025001D" w:rsidRDefault="0025001D">
            <w:r>
              <w:rPr>
                <w:rFonts w:ascii="Arial" w:eastAsia="Arial" w:hAnsi="Arial" w:cs="Arial"/>
                <w:b/>
                <w:color w:val="000000"/>
                <w:sz w:val="16"/>
              </w:rPr>
              <w:t>Ministério do Planejamento e Orçamento</w:t>
            </w: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1079" w:type="dxa"/>
            <w:gridSpan w:val="2"/>
            <w:vMerge/>
            <w:shd w:val="clear" w:color="auto" w:fill="auto"/>
            <w:tcMar>
              <w:left w:w="0" w:type="dxa"/>
              <w:right w:w="0" w:type="dxa"/>
            </w:tcMar>
          </w:tcPr>
          <w:p w:rsidR="0025001D" w:rsidRDefault="0025001D">
            <w:pPr>
              <w:pStyle w:val="EMPTYCELLSTYLE"/>
              <w:widowControl w:val="0"/>
            </w:pPr>
          </w:p>
        </w:tc>
        <w:tc>
          <w:tcPr>
            <w:tcW w:w="8001" w:type="dxa"/>
            <w:gridSpan w:val="6"/>
            <w:shd w:val="clear" w:color="auto" w:fill="auto"/>
            <w:tcMar>
              <w:left w:w="200" w:type="dxa"/>
              <w:right w:w="0" w:type="dxa"/>
            </w:tcMar>
            <w:vAlign w:val="center"/>
          </w:tcPr>
          <w:p w:rsidR="0025001D" w:rsidRDefault="0025001D">
            <w:r>
              <w:rPr>
                <w:rFonts w:ascii="Arial" w:eastAsia="Arial" w:hAnsi="Arial" w:cs="Arial"/>
                <w:color w:val="000000"/>
                <w:sz w:val="16"/>
              </w:rPr>
              <w:t>SIOP - Alterações Orçamentárias</w:t>
            </w:r>
          </w:p>
        </w:tc>
        <w:tc>
          <w:tcPr>
            <w:tcW w:w="6999" w:type="dxa"/>
            <w:gridSpan w:val="9"/>
            <w:shd w:val="clear" w:color="auto" w:fill="auto"/>
            <w:tcMar>
              <w:left w:w="0" w:type="dxa"/>
              <w:right w:w="0" w:type="dxa"/>
            </w:tcMar>
            <w:vAlign w:val="center"/>
          </w:tcPr>
          <w:p w:rsidR="0025001D" w:rsidRDefault="0025001D">
            <w:pPr>
              <w:jc w:val="right"/>
            </w:pPr>
            <w:r>
              <w:rPr>
                <w:rFonts w:ascii="Arial" w:eastAsia="Arial" w:hAnsi="Arial" w:cs="Arial"/>
                <w:b/>
                <w:color w:val="000000"/>
                <w:sz w:val="16"/>
              </w:rPr>
              <w:t>Exercício: 2024</w:t>
            </w:r>
          </w:p>
        </w:tc>
        <w:tc>
          <w:tcPr>
            <w:tcW w:w="40" w:type="dxa"/>
            <w:shd w:val="clear" w:color="auto" w:fill="auto"/>
          </w:tcPr>
          <w:p w:rsidR="0025001D" w:rsidRDefault="0025001D">
            <w:pPr>
              <w:pStyle w:val="EMPTYCELLSTYLE"/>
              <w:widowControl w:val="0"/>
            </w:pPr>
          </w:p>
        </w:tc>
      </w:tr>
      <w:tr w:rsidR="0025001D" w:rsidTr="0025001D">
        <w:trPr>
          <w:trHeight w:hRule="exact" w:val="400"/>
        </w:trPr>
        <w:tc>
          <w:tcPr>
            <w:tcW w:w="40" w:type="dxa"/>
            <w:shd w:val="clear" w:color="auto" w:fill="auto"/>
          </w:tcPr>
          <w:p w:rsidR="0025001D" w:rsidRDefault="0025001D">
            <w:pPr>
              <w:pStyle w:val="EMPTYCELLSTYLE"/>
              <w:widowControl w:val="0"/>
            </w:pPr>
          </w:p>
        </w:tc>
        <w:tc>
          <w:tcPr>
            <w:tcW w:w="1079" w:type="dxa"/>
            <w:gridSpan w:val="2"/>
            <w:vMerge/>
            <w:shd w:val="clear" w:color="auto" w:fill="auto"/>
            <w:tcMar>
              <w:left w:w="0" w:type="dxa"/>
              <w:right w:w="0" w:type="dxa"/>
            </w:tcMar>
          </w:tcPr>
          <w:p w:rsidR="0025001D" w:rsidRDefault="0025001D">
            <w:pPr>
              <w:pStyle w:val="EMPTYCELLSTYLE"/>
              <w:widowControl w:val="0"/>
            </w:pPr>
          </w:p>
        </w:tc>
        <w:tc>
          <w:tcPr>
            <w:tcW w:w="8001" w:type="dxa"/>
            <w:gridSpan w:val="6"/>
            <w:shd w:val="clear" w:color="auto" w:fill="auto"/>
            <w:tcMar>
              <w:left w:w="200" w:type="dxa"/>
              <w:right w:w="0" w:type="dxa"/>
            </w:tcMar>
            <w:vAlign w:val="center"/>
          </w:tcPr>
          <w:p w:rsidR="0025001D" w:rsidRDefault="0025001D">
            <w:r>
              <w:rPr>
                <w:rFonts w:ascii="Arial" w:eastAsia="Arial" w:hAnsi="Arial" w:cs="Arial"/>
                <w:b/>
                <w:color w:val="000000"/>
                <w:sz w:val="16"/>
              </w:rPr>
              <w:t>RELATÓRIO DEMONSTRATIVO DOS DESVIOS</w:t>
            </w: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30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15000" w:type="dxa"/>
            <w:gridSpan w:val="15"/>
            <w:shd w:val="clear" w:color="auto" w:fill="auto"/>
            <w:tcMar>
              <w:left w:w="200" w:type="dxa"/>
              <w:right w:w="0" w:type="dxa"/>
            </w:tcMar>
            <w:vAlign w:val="center"/>
          </w:tcPr>
          <w:p w:rsidR="0025001D" w:rsidRDefault="0025001D">
            <w:r>
              <w:rPr>
                <w:rFonts w:ascii="Arial" w:eastAsia="Arial" w:hAnsi="Arial" w:cs="Arial"/>
                <w:color w:val="000000"/>
                <w:sz w:val="16"/>
              </w:rPr>
              <w:t>(Art.54, §18, da Lei nº 14.791, de 29 de dezembro de 2023)</w:t>
            </w:r>
          </w:p>
        </w:tc>
        <w:tc>
          <w:tcPr>
            <w:tcW w:w="40" w:type="dxa"/>
            <w:shd w:val="clear" w:color="auto" w:fill="auto"/>
          </w:tcPr>
          <w:p w:rsidR="0025001D" w:rsidRDefault="0025001D">
            <w:pPr>
              <w:pStyle w:val="EMPTYCELLSTYLE"/>
              <w:widowControl w:val="0"/>
            </w:pPr>
          </w:p>
        </w:tc>
      </w:tr>
      <w:tr w:rsidR="0025001D" w:rsidTr="0025001D">
        <w:trPr>
          <w:trHeight w:hRule="exact" w:val="10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30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800" w:type="dxa"/>
            <w:gridSpan w:val="2"/>
            <w:shd w:val="clear" w:color="auto" w:fill="auto"/>
            <w:tcMar>
              <w:left w:w="0" w:type="dxa"/>
              <w:right w:w="0" w:type="dxa"/>
            </w:tcMar>
          </w:tcPr>
          <w:p w:rsidR="0025001D" w:rsidRDefault="0025001D">
            <w:pPr>
              <w:jc w:val="right"/>
            </w:pPr>
            <w:r>
              <w:rPr>
                <w:rFonts w:ascii="Arial" w:eastAsia="Arial" w:hAnsi="Arial" w:cs="Arial"/>
                <w:b/>
                <w:color w:val="000000"/>
                <w:sz w:val="16"/>
              </w:rPr>
              <w:t>R$ 1,00</w:t>
            </w:r>
          </w:p>
        </w:tc>
        <w:tc>
          <w:tcPr>
            <w:tcW w:w="40" w:type="dxa"/>
            <w:shd w:val="clear" w:color="auto" w:fill="auto"/>
          </w:tcPr>
          <w:p w:rsidR="0025001D" w:rsidRDefault="0025001D">
            <w:pPr>
              <w:pStyle w:val="EMPTYCELLSTYLE"/>
              <w:widowControl w:val="0"/>
            </w:pPr>
          </w:p>
        </w:tc>
      </w:tr>
      <w:tr w:rsidR="0025001D" w:rsidTr="0025001D">
        <w:trPr>
          <w:trHeight w:hRule="exact" w:val="4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20"/>
        </w:trPr>
        <w:tc>
          <w:tcPr>
            <w:tcW w:w="40" w:type="dxa"/>
            <w:shd w:val="clear" w:color="auto" w:fill="auto"/>
          </w:tcPr>
          <w:p w:rsidR="0025001D" w:rsidRDefault="0025001D">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2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40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vAlign w:val="bottom"/>
          </w:tcPr>
          <w:p w:rsidR="0025001D" w:rsidRDefault="0025001D">
            <w:r>
              <w:rPr>
                <w:rFonts w:ascii="Arial Narrow" w:eastAsia="Arial Narrow" w:hAnsi="Arial Narrow" w:cs="Arial Narrow"/>
                <w:b/>
                <w:color w:val="000000"/>
                <w:sz w:val="16"/>
              </w:rPr>
              <w:t>Programação</w:t>
            </w:r>
          </w:p>
        </w:tc>
        <w:tc>
          <w:tcPr>
            <w:tcW w:w="1600" w:type="dxa"/>
            <w:shd w:val="clear" w:color="auto" w:fill="auto"/>
            <w:tcMar>
              <w:left w:w="0" w:type="dxa"/>
              <w:right w:w="0" w:type="dxa"/>
            </w:tcMar>
            <w:vAlign w:val="bottom"/>
          </w:tcPr>
          <w:p w:rsidR="0025001D" w:rsidRDefault="0025001D">
            <w:pPr>
              <w:jc w:val="right"/>
            </w:pPr>
            <w:r>
              <w:rPr>
                <w:rFonts w:ascii="Arial Narrow" w:eastAsia="Arial Narrow" w:hAnsi="Arial Narrow" w:cs="Arial Narrow"/>
                <w:b/>
                <w:color w:val="000000"/>
                <w:sz w:val="16"/>
              </w:rPr>
              <w:t>LOA</w:t>
            </w:r>
            <w:r>
              <w:rPr>
                <w:rFonts w:ascii="Arial Narrow" w:eastAsia="Arial Narrow" w:hAnsi="Arial Narrow" w:cs="Arial Narrow"/>
                <w:b/>
                <w:color w:val="000000"/>
                <w:sz w:val="16"/>
              </w:rPr>
              <w:br/>
              <w:t>(A)</w:t>
            </w:r>
          </w:p>
        </w:tc>
        <w:tc>
          <w:tcPr>
            <w:tcW w:w="1601" w:type="dxa"/>
            <w:gridSpan w:val="2"/>
            <w:shd w:val="clear" w:color="auto" w:fill="auto"/>
            <w:tcMar>
              <w:left w:w="0" w:type="dxa"/>
              <w:right w:w="0" w:type="dxa"/>
            </w:tcMar>
            <w:vAlign w:val="bottom"/>
          </w:tcPr>
          <w:p w:rsidR="0025001D" w:rsidRDefault="0025001D">
            <w:pPr>
              <w:jc w:val="right"/>
            </w:pPr>
            <w:r>
              <w:rPr>
                <w:rFonts w:ascii="Arial Narrow" w:eastAsia="Arial Narrow" w:hAnsi="Arial Narrow" w:cs="Arial Narrow"/>
                <w:b/>
                <w:color w:val="000000"/>
                <w:sz w:val="16"/>
              </w:rPr>
              <w:t>Dotação</w:t>
            </w:r>
            <w:r>
              <w:rPr>
                <w:rFonts w:ascii="Arial Narrow" w:eastAsia="Arial Narrow" w:hAnsi="Arial Narrow" w:cs="Arial Narrow"/>
                <w:b/>
                <w:color w:val="000000"/>
                <w:sz w:val="16"/>
              </w:rPr>
              <w:br/>
              <w:t>Atual (B)</w:t>
            </w:r>
          </w:p>
        </w:tc>
        <w:tc>
          <w:tcPr>
            <w:tcW w:w="1600" w:type="dxa"/>
            <w:gridSpan w:val="2"/>
            <w:shd w:val="clear" w:color="auto" w:fill="auto"/>
            <w:tcMar>
              <w:left w:w="0" w:type="dxa"/>
              <w:right w:w="0" w:type="dxa"/>
            </w:tcMar>
            <w:vAlign w:val="bottom"/>
          </w:tcPr>
          <w:p w:rsidR="0025001D" w:rsidRDefault="0025001D">
            <w:pPr>
              <w:jc w:val="right"/>
            </w:pPr>
            <w:r>
              <w:rPr>
                <w:rFonts w:ascii="Arial Narrow" w:eastAsia="Arial Narrow" w:hAnsi="Arial Narrow" w:cs="Arial Narrow"/>
                <w:b/>
                <w:color w:val="000000"/>
                <w:sz w:val="16"/>
              </w:rPr>
              <w:t>Créditos em</w:t>
            </w:r>
            <w:r>
              <w:rPr>
                <w:rFonts w:ascii="Arial Narrow" w:eastAsia="Arial Narrow" w:hAnsi="Arial Narrow" w:cs="Arial Narrow"/>
                <w:b/>
                <w:color w:val="000000"/>
                <w:sz w:val="16"/>
              </w:rPr>
              <w:br/>
              <w:t>Tramitação (C)</w:t>
            </w:r>
          </w:p>
        </w:tc>
        <w:tc>
          <w:tcPr>
            <w:tcW w:w="1600" w:type="dxa"/>
            <w:shd w:val="clear" w:color="auto" w:fill="auto"/>
            <w:tcMar>
              <w:left w:w="0" w:type="dxa"/>
              <w:right w:w="0" w:type="dxa"/>
            </w:tcMar>
            <w:vAlign w:val="bottom"/>
          </w:tcPr>
          <w:p w:rsidR="0025001D" w:rsidRDefault="0025001D">
            <w:pPr>
              <w:jc w:val="right"/>
            </w:pPr>
            <w:r>
              <w:rPr>
                <w:rFonts w:ascii="Arial Narrow" w:eastAsia="Arial Narrow" w:hAnsi="Arial Narrow" w:cs="Arial Narrow"/>
                <w:b/>
                <w:color w:val="000000"/>
                <w:sz w:val="16"/>
              </w:rPr>
              <w:t>Valor deste</w:t>
            </w:r>
            <w:r>
              <w:rPr>
                <w:rFonts w:ascii="Arial Narrow" w:eastAsia="Arial Narrow" w:hAnsi="Arial Narrow" w:cs="Arial Narrow"/>
                <w:b/>
                <w:color w:val="000000"/>
                <w:sz w:val="16"/>
              </w:rPr>
              <w:br/>
              <w:t>Crédito (D)</w:t>
            </w:r>
          </w:p>
        </w:tc>
        <w:tc>
          <w:tcPr>
            <w:tcW w:w="1600" w:type="dxa"/>
            <w:gridSpan w:val="2"/>
            <w:shd w:val="clear" w:color="auto" w:fill="auto"/>
            <w:tcMar>
              <w:left w:w="0" w:type="dxa"/>
              <w:right w:w="0" w:type="dxa"/>
            </w:tcMar>
            <w:vAlign w:val="bottom"/>
          </w:tcPr>
          <w:p w:rsidR="0025001D" w:rsidRDefault="0025001D">
            <w:pPr>
              <w:jc w:val="right"/>
            </w:pPr>
            <w:r>
              <w:rPr>
                <w:rFonts w:ascii="Arial Narrow" w:eastAsia="Arial Narrow" w:hAnsi="Arial Narrow" w:cs="Arial Narrow"/>
                <w:b/>
                <w:color w:val="000000"/>
                <w:sz w:val="16"/>
              </w:rPr>
              <w:t>Dotação Resultante</w:t>
            </w:r>
            <w:r>
              <w:rPr>
                <w:rFonts w:ascii="Arial Narrow" w:eastAsia="Arial Narrow" w:hAnsi="Arial Narrow" w:cs="Arial Narrow"/>
                <w:b/>
                <w:color w:val="000000"/>
                <w:sz w:val="16"/>
              </w:rPr>
              <w:br/>
              <w:t>(E) = B + C + D</w:t>
            </w:r>
          </w:p>
        </w:tc>
        <w:tc>
          <w:tcPr>
            <w:tcW w:w="1719" w:type="dxa"/>
            <w:gridSpan w:val="3"/>
            <w:shd w:val="clear" w:color="auto" w:fill="auto"/>
            <w:tcMar>
              <w:left w:w="0" w:type="dxa"/>
              <w:right w:w="0" w:type="dxa"/>
            </w:tcMar>
            <w:vAlign w:val="bottom"/>
          </w:tcPr>
          <w:p w:rsidR="0025001D" w:rsidRDefault="0025001D">
            <w:pPr>
              <w:jc w:val="right"/>
            </w:pPr>
            <w:r>
              <w:rPr>
                <w:rFonts w:ascii="Arial Narrow" w:eastAsia="Arial Narrow" w:hAnsi="Arial Narrow" w:cs="Arial Narrow"/>
                <w:b/>
                <w:color w:val="000000"/>
                <w:sz w:val="16"/>
              </w:rPr>
              <w:t>Desvio em Relação à</w:t>
            </w:r>
            <w:r>
              <w:rPr>
                <w:rFonts w:ascii="Arial Narrow" w:eastAsia="Arial Narrow" w:hAnsi="Arial Narrow" w:cs="Arial Narrow"/>
                <w:b/>
                <w:color w:val="000000"/>
                <w:sz w:val="16"/>
              </w:rPr>
              <w:br/>
              <w:t>LOA (F) = (E - A) / A</w:t>
            </w:r>
          </w:p>
        </w:tc>
        <w:tc>
          <w:tcPr>
            <w:tcW w:w="40" w:type="dxa"/>
            <w:shd w:val="clear" w:color="auto" w:fill="auto"/>
          </w:tcPr>
          <w:p w:rsidR="0025001D" w:rsidRDefault="0025001D">
            <w:pPr>
              <w:pStyle w:val="EMPTYCELLSTYLE"/>
              <w:widowControl w:val="0"/>
            </w:pPr>
          </w:p>
        </w:tc>
      </w:tr>
      <w:tr w:rsidR="0025001D" w:rsidTr="0025001D">
        <w:trPr>
          <w:trHeight w:hRule="exact" w:val="2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20"/>
        </w:trPr>
        <w:tc>
          <w:tcPr>
            <w:tcW w:w="40" w:type="dxa"/>
            <w:shd w:val="clear" w:color="auto" w:fill="auto"/>
          </w:tcPr>
          <w:p w:rsidR="0025001D" w:rsidRDefault="0025001D">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4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30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10.15126.02.122.0033.4256.0001 - Apreciação de Causas na Justiça do Trabalho - Nacional</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579.862.070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405.903.449</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-405.903.449</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-100,00 %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10.34102.03.122.0031.12DN.3341 - Construção do Edifício-Sede da Procuradoria da Justiça Militar no Rio de Janeiro - RJ - No Município do Rio de Janeiro - RJ</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1.995.520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1.995.520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-1.500.000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495.520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-75,17 %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10.34101.03.122.0031.15ZH.5258 - Construção do Edifício-Sede da Procuradoria da República em Ponta Porã - MS - No Município de Ponta Porã - MS</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997.760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997.760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-707.500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290.260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-70,91 %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10.34101.03.122.0031.15ZG.2338 - Construção do Edifício-Sede da Procuradoria da República em Vitória da Conquista - BA - No Município de Vitória da Conquista - BA</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1.995.520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1.995.520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-1.405.500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590.020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-70,43 %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10.34104.03.122.0031.15VR.5664 - Construção do Edifício-Sede da Procuradoria Geral do Trabalho em Brasília - DF - Em Brasília - DF</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498.880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498.880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-350.000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148.880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-70,16 %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10.34104.03.122.0031.15XO.1795 - Ampliação do Anexo-Sede da Procuradoria Regional do Trabalho da 19ª Região de Maceió - AL - No Município de Maceió - AL</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5.986.560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5.986.560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-4.200.000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1.786.560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-70,16 %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10.34104.03.122.0031.15XP.1695 - Ampliação do Anexo-Sede da Procuradoria Regional do Trabalho da 6ª Região do Recife - PE - No Município de Recife - PE</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498.880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498.880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-350.000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148.880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-70,16 %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10.34104.03.122.0031.15Y0.0734 - Construção do Edifício-sede da Procuradoria Regional do Trabalho em São Luís - MA - No Município de São Luís - MA</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8.979.841</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8.979.841</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-6.300.000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2.679.841</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-70,16 %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10.34104.03.122.0031.15ZI.3303 - Construção do Edifício-sede da Procuradoria do Trabalho em Itaguaí - RJ - No Município de Itaguaí - RJ</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1.496.640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1.496.640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-1.050.000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446.640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-70,16 %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r>
              <w:rPr>
                <w:rFonts w:ascii="Arial Narrow" w:eastAsia="Arial Narrow" w:hAnsi="Arial Narrow" w:cs="Arial Narrow"/>
                <w:color w:val="000000"/>
                <w:sz w:val="16"/>
              </w:rPr>
              <w:t>10.34103.03.122.0031.15XM.0053 - Construção do Edifício-Sede da Promotoria de Justiça de Sobradinho - DF - No Distrito Federal</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4.988.800</w:t>
            </w:r>
          </w:p>
        </w:tc>
        <w:tc>
          <w:tcPr>
            <w:tcW w:w="1601"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4.988.800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0</w:t>
            </w:r>
          </w:p>
        </w:tc>
        <w:tc>
          <w:tcPr>
            <w:tcW w:w="1600" w:type="dxa"/>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-3.492.800</w:t>
            </w:r>
          </w:p>
        </w:tc>
        <w:tc>
          <w:tcPr>
            <w:tcW w:w="1600" w:type="dxa"/>
            <w:gridSpan w:val="2"/>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1.496.000</w:t>
            </w:r>
          </w:p>
        </w:tc>
        <w:tc>
          <w:tcPr>
            <w:tcW w:w="1719" w:type="dxa"/>
            <w:gridSpan w:val="3"/>
            <w:shd w:val="clear" w:color="auto" w:fill="auto"/>
            <w:tcMar>
              <w:left w:w="0" w:type="dxa"/>
              <w:right w:w="0" w:type="dxa"/>
            </w:tcMar>
          </w:tcPr>
          <w:p w:rsidR="0025001D" w:rsidRDefault="0025001D">
            <w:pPr>
              <w:jc w:val="right"/>
            </w:pPr>
            <w:r>
              <w:rPr>
                <w:rFonts w:ascii="Arial Narrow" w:eastAsia="Arial Narrow" w:hAnsi="Arial Narrow" w:cs="Arial Narrow"/>
                <w:color w:val="000000"/>
                <w:sz w:val="16"/>
              </w:rPr>
              <w:t>-70,01 %</w:t>
            </w:r>
          </w:p>
        </w:tc>
        <w:tc>
          <w:tcPr>
            <w:tcW w:w="40" w:type="dxa"/>
            <w:shd w:val="clear" w:color="auto" w:fill="auto"/>
          </w:tcPr>
          <w:p w:rsidR="0025001D" w:rsidRDefault="0025001D">
            <w:pPr>
              <w:pStyle w:val="EMPTYCELLSTYLE"/>
              <w:widowControl w:val="0"/>
            </w:pPr>
          </w:p>
        </w:tc>
      </w:tr>
      <w:tr w:rsidR="0025001D" w:rsidTr="0025001D">
        <w:trPr>
          <w:trHeight w:hRule="exact" w:val="360"/>
        </w:trPr>
        <w:tc>
          <w:tcPr>
            <w:tcW w:w="40" w:type="dxa"/>
            <w:shd w:val="clear" w:color="auto" w:fill="auto"/>
          </w:tcPr>
          <w:p w:rsidR="0025001D" w:rsidRDefault="0025001D">
            <w:pPr>
              <w:pStyle w:val="EMPTYCELLSTYLE"/>
              <w:widowControl w:val="0"/>
            </w:pPr>
          </w:p>
        </w:tc>
        <w:tc>
          <w:tcPr>
            <w:tcW w:w="6359" w:type="dxa"/>
            <w:gridSpan w:val="6"/>
            <w:shd w:val="clear" w:color="auto" w:fill="auto"/>
            <w:tcMar>
              <w:left w:w="0" w:type="dxa"/>
              <w:right w:w="0" w:type="dxa"/>
            </w:tcMar>
          </w:tcPr>
          <w:p w:rsidR="0025001D" w:rsidRDefault="0025001D"/>
        </w:tc>
        <w:tc>
          <w:tcPr>
            <w:tcW w:w="1600" w:type="dxa"/>
            <w:shd w:val="clear" w:color="auto" w:fill="auto"/>
            <w:tcMar>
              <w:left w:w="0" w:type="dxa"/>
              <w:right w:w="0" w:type="dxa"/>
            </w:tcMar>
          </w:tcPr>
          <w:p w:rsidR="0025001D" w:rsidRDefault="0025001D">
            <w:pPr>
              <w:jc w:val="right"/>
            </w:pPr>
          </w:p>
        </w:tc>
        <w:tc>
          <w:tcPr>
            <w:tcW w:w="1601" w:type="dxa"/>
            <w:gridSpan w:val="2"/>
            <w:shd w:val="clear" w:color="auto" w:fill="auto"/>
            <w:tcMar>
              <w:left w:w="0" w:type="dxa"/>
              <w:right w:w="0" w:type="dxa"/>
            </w:tcMar>
          </w:tcPr>
          <w:p w:rsidR="0025001D" w:rsidRDefault="0025001D">
            <w:pPr>
              <w:jc w:val="right"/>
            </w:pPr>
          </w:p>
        </w:tc>
        <w:tc>
          <w:tcPr>
            <w:tcW w:w="1600" w:type="dxa"/>
            <w:gridSpan w:val="2"/>
            <w:shd w:val="clear" w:color="auto" w:fill="auto"/>
            <w:tcMar>
              <w:left w:w="0" w:type="dxa"/>
              <w:right w:w="0" w:type="dxa"/>
            </w:tcMar>
          </w:tcPr>
          <w:p w:rsidR="0025001D" w:rsidRDefault="0025001D">
            <w:pPr>
              <w:jc w:val="right"/>
            </w:pPr>
          </w:p>
        </w:tc>
        <w:tc>
          <w:tcPr>
            <w:tcW w:w="1600" w:type="dxa"/>
            <w:shd w:val="clear" w:color="auto" w:fill="auto"/>
            <w:tcMar>
              <w:left w:w="0" w:type="dxa"/>
              <w:right w:w="0" w:type="dxa"/>
            </w:tcMar>
          </w:tcPr>
          <w:p w:rsidR="0025001D" w:rsidRDefault="0025001D">
            <w:pPr>
              <w:jc w:val="right"/>
            </w:pPr>
          </w:p>
        </w:tc>
        <w:tc>
          <w:tcPr>
            <w:tcW w:w="1600" w:type="dxa"/>
            <w:gridSpan w:val="2"/>
            <w:shd w:val="clear" w:color="auto" w:fill="auto"/>
            <w:tcMar>
              <w:left w:w="0" w:type="dxa"/>
              <w:right w:w="0" w:type="dxa"/>
            </w:tcMar>
          </w:tcPr>
          <w:p w:rsidR="0025001D" w:rsidRDefault="0025001D">
            <w:pPr>
              <w:jc w:val="right"/>
            </w:pPr>
          </w:p>
        </w:tc>
        <w:tc>
          <w:tcPr>
            <w:tcW w:w="1719" w:type="dxa"/>
            <w:gridSpan w:val="3"/>
            <w:shd w:val="clear" w:color="auto" w:fill="auto"/>
            <w:tcMar>
              <w:left w:w="0" w:type="dxa"/>
              <w:right w:w="0" w:type="dxa"/>
            </w:tcMar>
          </w:tcPr>
          <w:p w:rsidR="0025001D" w:rsidRDefault="0025001D">
            <w:pPr>
              <w:jc w:val="right"/>
            </w:pPr>
          </w:p>
        </w:tc>
        <w:tc>
          <w:tcPr>
            <w:tcW w:w="40" w:type="dxa"/>
            <w:shd w:val="clear" w:color="auto" w:fill="auto"/>
          </w:tcPr>
          <w:p w:rsidR="0025001D" w:rsidRDefault="0025001D">
            <w:pPr>
              <w:pStyle w:val="EMPTYCELLSTYLE"/>
              <w:widowControl w:val="0"/>
            </w:pPr>
          </w:p>
        </w:tc>
      </w:tr>
      <w:tr w:rsidR="0025001D" w:rsidTr="0025001D">
        <w:trPr>
          <w:trHeight w:hRule="exact" w:val="3399"/>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115"/>
        </w:trPr>
        <w:tc>
          <w:tcPr>
            <w:tcW w:w="40" w:type="dxa"/>
            <w:shd w:val="clear" w:color="auto" w:fill="auto"/>
          </w:tcPr>
          <w:p w:rsidR="0025001D" w:rsidRDefault="0025001D">
            <w:pPr>
              <w:pStyle w:val="EMPTYCELLSTYLE"/>
              <w:widowControl w:val="0"/>
            </w:pPr>
          </w:p>
        </w:tc>
        <w:tc>
          <w:tcPr>
            <w:tcW w:w="16079" w:type="dxa"/>
            <w:gridSpan w:val="17"/>
            <w:tcBorders>
              <w:top w:val="single" w:sz="8" w:space="0" w:color="000000"/>
            </w:tcBorders>
            <w:shd w:val="clear" w:color="auto" w:fill="FFFFFF"/>
            <w:tcMar>
              <w:left w:w="0" w:type="dxa"/>
              <w:right w:w="0" w:type="dxa"/>
            </w:tcMar>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6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2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039" w:type="dxa"/>
            <w:shd w:val="clear" w:color="auto" w:fill="auto"/>
          </w:tcPr>
          <w:p w:rsidR="0025001D" w:rsidRDefault="0025001D">
            <w:pPr>
              <w:pStyle w:val="EMPTYCELLSTYLE"/>
              <w:widowControl w:val="0"/>
            </w:pPr>
          </w:p>
        </w:tc>
        <w:tc>
          <w:tcPr>
            <w:tcW w:w="561" w:type="dxa"/>
            <w:shd w:val="clear" w:color="auto" w:fill="auto"/>
          </w:tcPr>
          <w:p w:rsidR="0025001D" w:rsidRDefault="0025001D">
            <w:pPr>
              <w:pStyle w:val="EMPTYCELLSTYLE"/>
              <w:widowControl w:val="0"/>
            </w:pPr>
          </w:p>
        </w:tc>
        <w:tc>
          <w:tcPr>
            <w:tcW w:w="800" w:type="dxa"/>
            <w:shd w:val="clear" w:color="auto" w:fill="auto"/>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20" w:type="dxa"/>
            <w:gridSpan w:val="5"/>
            <w:vMerge w:val="restart"/>
            <w:shd w:val="clear" w:color="auto" w:fill="auto"/>
            <w:tcMar>
              <w:left w:w="0" w:type="dxa"/>
              <w:right w:w="0" w:type="dxa"/>
            </w:tcMar>
          </w:tcPr>
          <w:p w:rsidR="0025001D" w:rsidRDefault="0025001D">
            <w:pPr>
              <w:jc w:val="center"/>
            </w:pPr>
            <w:r>
              <w:rPr>
                <w:rFonts w:ascii="SansSerif" w:eastAsia="SansSerif" w:hAnsi="SansSerif" w:cs="SansSerif"/>
                <w:color w:val="000000"/>
                <w:sz w:val="16"/>
              </w:rPr>
              <w:t>SIOP - http://www.siop.planejamento.gov.br</w:t>
            </w: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2799" w:type="dxa"/>
            <w:gridSpan w:val="3"/>
            <w:vMerge w:val="restart"/>
            <w:shd w:val="clear" w:color="auto" w:fill="auto"/>
            <w:tcMar>
              <w:left w:w="0" w:type="dxa"/>
              <w:right w:w="0" w:type="dxa"/>
            </w:tcMar>
          </w:tcPr>
          <w:p w:rsidR="0025001D" w:rsidRDefault="0025001D">
            <w:pPr>
              <w:jc w:val="right"/>
            </w:pPr>
            <w:r>
              <w:rPr>
                <w:rFonts w:ascii="SansSerif" w:eastAsia="SansSerif" w:hAnsi="SansSerif" w:cs="SansSerif"/>
                <w:color w:val="000000"/>
                <w:sz w:val="16"/>
              </w:rPr>
              <w:t>19/04/2024 10:06</w:t>
            </w: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20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600" w:type="dxa"/>
            <w:gridSpan w:val="2"/>
            <w:vMerge w:val="restart"/>
            <w:shd w:val="clear" w:color="auto" w:fill="auto"/>
            <w:tcMar>
              <w:left w:w="0" w:type="dxa"/>
              <w:right w:w="0" w:type="dxa"/>
            </w:tcMar>
          </w:tcPr>
          <w:p w:rsidR="0025001D" w:rsidRDefault="0025001D">
            <w:pPr>
              <w:jc w:val="right"/>
            </w:pPr>
            <w:r>
              <w:rPr>
                <w:rFonts w:ascii="Arial Narrow" w:eastAsia="Arial Narrow" w:hAnsi="Arial Narrow" w:cs="Arial Narrow"/>
                <w:color w:val="000000"/>
                <w:sz w:val="12"/>
              </w:rPr>
              <w:t>Página 1 de</w:t>
            </w:r>
          </w:p>
        </w:tc>
        <w:tc>
          <w:tcPr>
            <w:tcW w:w="800" w:type="dxa"/>
            <w:vMerge w:val="restart"/>
            <w:shd w:val="clear" w:color="auto" w:fill="auto"/>
            <w:tcMar>
              <w:left w:w="0" w:type="dxa"/>
              <w:right w:w="0" w:type="dxa"/>
            </w:tcMar>
          </w:tcPr>
          <w:p w:rsidR="0025001D" w:rsidRDefault="0025001D">
            <w:r>
              <w:rPr>
                <w:rFonts w:ascii="Arial Narrow" w:eastAsia="Arial Narrow" w:hAnsi="Arial Narrow" w:cs="Arial Narrow"/>
                <w:color w:val="000000"/>
                <w:sz w:val="12"/>
              </w:rPr>
              <w:t xml:space="preserve"> 1</w:t>
            </w:r>
          </w:p>
        </w:tc>
        <w:tc>
          <w:tcPr>
            <w:tcW w:w="3479" w:type="dxa"/>
            <w:shd w:val="clear" w:color="auto" w:fill="auto"/>
          </w:tcPr>
          <w:p w:rsidR="0025001D" w:rsidRDefault="0025001D">
            <w:pPr>
              <w:pStyle w:val="EMPTYCELLSTYLE"/>
              <w:widowControl w:val="0"/>
            </w:pPr>
          </w:p>
        </w:tc>
        <w:tc>
          <w:tcPr>
            <w:tcW w:w="4420" w:type="dxa"/>
            <w:gridSpan w:val="5"/>
            <w:vMerge/>
            <w:shd w:val="clear" w:color="auto" w:fill="auto"/>
            <w:tcMar>
              <w:left w:w="0" w:type="dxa"/>
              <w:right w:w="0" w:type="dxa"/>
            </w:tcMar>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2799" w:type="dxa"/>
            <w:gridSpan w:val="3"/>
            <w:vMerge/>
            <w:shd w:val="clear" w:color="auto" w:fill="auto"/>
            <w:tcMar>
              <w:left w:w="0" w:type="dxa"/>
              <w:right w:w="0" w:type="dxa"/>
            </w:tcMar>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r w:rsidR="0025001D" w:rsidTr="0025001D">
        <w:trPr>
          <w:trHeight w:hRule="exact" w:val="40"/>
        </w:trPr>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1600" w:type="dxa"/>
            <w:gridSpan w:val="2"/>
            <w:vMerge/>
            <w:shd w:val="clear" w:color="auto" w:fill="auto"/>
            <w:tcMar>
              <w:left w:w="0" w:type="dxa"/>
              <w:right w:w="0" w:type="dxa"/>
            </w:tcMar>
          </w:tcPr>
          <w:p w:rsidR="0025001D" w:rsidRDefault="0025001D">
            <w:pPr>
              <w:pStyle w:val="EMPTYCELLSTYLE"/>
              <w:widowControl w:val="0"/>
            </w:pPr>
          </w:p>
        </w:tc>
        <w:tc>
          <w:tcPr>
            <w:tcW w:w="800" w:type="dxa"/>
            <w:vMerge/>
            <w:shd w:val="clear" w:color="auto" w:fill="auto"/>
            <w:tcMar>
              <w:left w:w="0" w:type="dxa"/>
              <w:right w:w="0" w:type="dxa"/>
            </w:tcMar>
          </w:tcPr>
          <w:p w:rsidR="0025001D" w:rsidRDefault="0025001D">
            <w:pPr>
              <w:pStyle w:val="EMPTYCELLSTYLE"/>
              <w:widowControl w:val="0"/>
            </w:pPr>
          </w:p>
        </w:tc>
        <w:tc>
          <w:tcPr>
            <w:tcW w:w="3479" w:type="dxa"/>
            <w:shd w:val="clear" w:color="auto" w:fill="auto"/>
          </w:tcPr>
          <w:p w:rsidR="0025001D" w:rsidRDefault="0025001D">
            <w:pPr>
              <w:pStyle w:val="EMPTYCELLSTYLE"/>
              <w:widowControl w:val="0"/>
            </w:pPr>
          </w:p>
        </w:tc>
        <w:tc>
          <w:tcPr>
            <w:tcW w:w="440"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1121"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779" w:type="dxa"/>
            <w:shd w:val="clear" w:color="auto" w:fill="auto"/>
          </w:tcPr>
          <w:p w:rsidR="0025001D" w:rsidRDefault="0025001D">
            <w:pPr>
              <w:pStyle w:val="EMPTYCELLSTYLE"/>
              <w:widowControl w:val="0"/>
            </w:pPr>
          </w:p>
        </w:tc>
        <w:tc>
          <w:tcPr>
            <w:tcW w:w="821" w:type="dxa"/>
            <w:shd w:val="clear" w:color="auto" w:fill="auto"/>
          </w:tcPr>
          <w:p w:rsidR="0025001D" w:rsidRDefault="0025001D">
            <w:pPr>
              <w:pStyle w:val="EMPTYCELLSTYLE"/>
              <w:widowControl w:val="0"/>
            </w:pPr>
          </w:p>
        </w:tc>
        <w:tc>
          <w:tcPr>
            <w:tcW w:w="1600" w:type="dxa"/>
            <w:shd w:val="clear" w:color="auto" w:fill="auto"/>
          </w:tcPr>
          <w:p w:rsidR="0025001D" w:rsidRDefault="0025001D">
            <w:pPr>
              <w:pStyle w:val="EMPTYCELLSTYLE"/>
              <w:widowControl w:val="0"/>
            </w:pPr>
          </w:p>
        </w:tc>
        <w:tc>
          <w:tcPr>
            <w:tcW w:w="480" w:type="dxa"/>
            <w:shd w:val="clear" w:color="auto" w:fill="auto"/>
          </w:tcPr>
          <w:p w:rsidR="0025001D" w:rsidRDefault="0025001D">
            <w:pPr>
              <w:pStyle w:val="EMPTYCELLSTYLE"/>
              <w:widowControl w:val="0"/>
            </w:pPr>
          </w:p>
        </w:tc>
        <w:tc>
          <w:tcPr>
            <w:tcW w:w="1120" w:type="dxa"/>
            <w:shd w:val="clear" w:color="auto" w:fill="auto"/>
          </w:tcPr>
          <w:p w:rsidR="0025001D" w:rsidRDefault="0025001D">
            <w:pPr>
              <w:pStyle w:val="EMPTYCELLSTYLE"/>
              <w:widowControl w:val="0"/>
            </w:pPr>
          </w:p>
        </w:tc>
        <w:tc>
          <w:tcPr>
            <w:tcW w:w="919" w:type="dxa"/>
            <w:shd w:val="clear" w:color="auto" w:fill="auto"/>
          </w:tcPr>
          <w:p w:rsidR="0025001D" w:rsidRDefault="0025001D">
            <w:pPr>
              <w:pStyle w:val="EMPTYCELLSTYLE"/>
              <w:widowControl w:val="0"/>
            </w:pPr>
          </w:p>
        </w:tc>
        <w:tc>
          <w:tcPr>
            <w:tcW w:w="76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c>
          <w:tcPr>
            <w:tcW w:w="40" w:type="dxa"/>
            <w:shd w:val="clear" w:color="auto" w:fill="auto"/>
          </w:tcPr>
          <w:p w:rsidR="0025001D" w:rsidRDefault="0025001D">
            <w:pPr>
              <w:pStyle w:val="EMPTYCELLSTYLE"/>
              <w:widowControl w:val="0"/>
            </w:pPr>
          </w:p>
        </w:tc>
      </w:tr>
    </w:tbl>
    <w:p w:rsidR="005D250A" w:rsidRDefault="005D250A">
      <w:pPr>
        <w:pStyle w:val="Standard"/>
        <w:ind w:left="567" w:right="284"/>
        <w:rPr>
          <w:b/>
          <w:i/>
          <w:sz w:val="22"/>
        </w:rPr>
      </w:pPr>
    </w:p>
    <w:sectPr w:rsidR="005D250A" w:rsidSect="00EE4433">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05" w:rsidRDefault="0025001D">
      <w:r>
        <w:separator/>
      </w:r>
    </w:p>
  </w:endnote>
  <w:endnote w:type="continuationSeparator" w:id="0">
    <w:p w:rsidR="00A24005" w:rsidRDefault="0025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1"/>
    <w:family w:val="roman"/>
    <w:pitch w:val="default"/>
  </w:font>
  <w:font w:name="Calibri">
    <w:panose1 w:val="020F0502020204030204"/>
    <w:charset w:val="00"/>
    <w:family w:val="swiss"/>
    <w:pitch w:val="variable"/>
    <w:sig w:usb0="E4002EFF" w:usb1="C000247B" w:usb2="00000009" w:usb3="00000000" w:csb0="000001FF" w:csb1="00000000"/>
  </w:font>
  <w:font w:name="font325">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05" w:rsidRDefault="0025001D">
      <w:r>
        <w:rPr>
          <w:color w:val="000000"/>
        </w:rPr>
        <w:separator/>
      </w:r>
    </w:p>
  </w:footnote>
  <w:footnote w:type="continuationSeparator" w:id="0">
    <w:p w:rsidR="00A24005" w:rsidRDefault="00250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0A"/>
    <w:rsid w:val="0025001D"/>
    <w:rsid w:val="005D250A"/>
    <w:rsid w:val="00A24005"/>
    <w:rsid w:val="00EB54CB"/>
    <w:rsid w:val="00F52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18D04E-4AB6-4E55-9B2E-D38E8B5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25001D"/>
    <w:pPr>
      <w:widowControl/>
      <w:suppressAutoHyphens/>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5751</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Henrique Teixeira Botelho</dc:creator>
  <cp:lastModifiedBy>Milton Guilhon Rosa</cp:lastModifiedBy>
  <cp:revision>2</cp:revision>
  <dcterms:created xsi:type="dcterms:W3CDTF">2024-05-07T19:12:00Z</dcterms:created>
  <dcterms:modified xsi:type="dcterms:W3CDTF">2024-05-07T19:12:00Z</dcterms:modified>
</cp:coreProperties>
</file>