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581" w:rsidRPr="006C572A" w:rsidRDefault="00793581">
      <w:pPr>
        <w:pStyle w:val="Textbody"/>
        <w:rPr>
          <w:rFonts w:ascii="Arial" w:hAnsi="Arial" w:cs="Arial"/>
          <w:sz w:val="20"/>
          <w:szCs w:val="20"/>
        </w:rPr>
      </w:pPr>
      <w:bookmarkStart w:id="0" w:name="_GoBack"/>
    </w:p>
    <w:p w:rsidR="00793581" w:rsidRPr="006C572A" w:rsidRDefault="00AF7113">
      <w:pPr>
        <w:pStyle w:val="Textbody"/>
        <w:spacing w:before="567" w:after="0"/>
        <w:ind w:left="680"/>
        <w:rPr>
          <w:rFonts w:ascii="Arial" w:hAnsi="Arial" w:cs="Arial"/>
          <w:sz w:val="20"/>
          <w:szCs w:val="20"/>
        </w:rPr>
      </w:pPr>
      <w:r w:rsidRPr="006C572A">
        <w:rPr>
          <w:rFonts w:ascii="Arial" w:hAnsi="Arial" w:cs="Arial"/>
          <w:sz w:val="20"/>
          <w:szCs w:val="20"/>
        </w:rPr>
        <w:t>EM n</w:t>
      </w:r>
      <w:r w:rsidRPr="006C572A">
        <w:rPr>
          <w:rFonts w:ascii="Arial" w:hAnsi="Arial" w:cs="Arial"/>
          <w:strike/>
          <w:sz w:val="20"/>
          <w:szCs w:val="20"/>
        </w:rPr>
        <w:t>º</w:t>
      </w:r>
      <w:r w:rsidRPr="006C572A">
        <w:rPr>
          <w:rFonts w:ascii="Arial" w:hAnsi="Arial" w:cs="Arial"/>
          <w:sz w:val="20"/>
          <w:szCs w:val="20"/>
        </w:rPr>
        <w:t xml:space="preserve"> 00087/2024 MPO</w:t>
      </w:r>
    </w:p>
    <w:p w:rsidR="00793581" w:rsidRPr="006C572A" w:rsidRDefault="00AF7113">
      <w:pPr>
        <w:pStyle w:val="Textbody"/>
        <w:rPr>
          <w:rFonts w:ascii="Arial" w:hAnsi="Arial" w:cs="Arial"/>
          <w:sz w:val="20"/>
          <w:szCs w:val="20"/>
        </w:rPr>
      </w:pPr>
      <w:r w:rsidRPr="006C572A">
        <w:rPr>
          <w:rFonts w:ascii="Arial" w:hAnsi="Arial" w:cs="Arial"/>
          <w:sz w:val="20"/>
          <w:szCs w:val="20"/>
        </w:rPr>
        <w:t> </w:t>
      </w:r>
    </w:p>
    <w:p w:rsidR="00793581" w:rsidRPr="006C572A" w:rsidRDefault="00AF7113">
      <w:pPr>
        <w:pStyle w:val="PreformattedText"/>
        <w:spacing w:after="1701"/>
        <w:jc w:val="right"/>
        <w:rPr>
          <w:rFonts w:ascii="Arial" w:hAnsi="Arial" w:cs="Arial"/>
        </w:rPr>
      </w:pPr>
      <w:r w:rsidRPr="006C572A">
        <w:rPr>
          <w:rFonts w:ascii="Arial" w:hAnsi="Arial" w:cs="Arial"/>
        </w:rPr>
        <w:t>Brasília, 3 de Outubro de 2024</w:t>
      </w:r>
    </w:p>
    <w:p w:rsidR="00793581" w:rsidRPr="006C572A" w:rsidRDefault="00AF7113">
      <w:pPr>
        <w:pStyle w:val="Textbody"/>
        <w:spacing w:before="113" w:after="567"/>
        <w:ind w:firstLine="1134"/>
        <w:rPr>
          <w:rFonts w:ascii="Arial" w:hAnsi="Arial" w:cs="Arial"/>
          <w:sz w:val="20"/>
          <w:szCs w:val="20"/>
        </w:rPr>
      </w:pPr>
      <w:r w:rsidRPr="006C572A">
        <w:rPr>
          <w:rFonts w:ascii="Arial" w:hAnsi="Arial" w:cs="Arial"/>
          <w:sz w:val="20"/>
          <w:szCs w:val="20"/>
        </w:rPr>
        <w:t>Senhor Presidente da República,</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1.                Proponho a abertura de crédito especial ao Orçamento Fiscal da União (Lei nº 14.822, de 22 de janeiro de 2024), no valor de R$ 273.689.008,00 (duzentos e setenta e três milhões, seiscentos e oitenta e nove mil e oito reais), em favor das Justiças Federal, Eleitoral, e do Trabalho, e do Conselho Nacional de Justiça, conforme Quadro anexo a esta Exposição de Motivos.</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2.                O crédito em pauta visa incluir novas categorias de programação nos orçamentos vigentes dos mencionados órgãos, destinando recursos para:</w:t>
      </w:r>
    </w:p>
    <w:p w:rsidR="00793581" w:rsidRPr="006C572A" w:rsidRDefault="00AF7113">
      <w:pPr>
        <w:pStyle w:val="Textbody"/>
        <w:spacing w:after="200"/>
        <w:ind w:firstLine="1134"/>
        <w:jc w:val="both"/>
        <w:rPr>
          <w:rFonts w:ascii="Arial" w:hAnsi="Arial" w:cs="Arial"/>
          <w:sz w:val="20"/>
          <w:szCs w:val="20"/>
        </w:rPr>
      </w:pPr>
      <w:r w:rsidRPr="006C572A">
        <w:rPr>
          <w:rFonts w:ascii="Arial" w:hAnsi="Arial" w:cs="Arial"/>
          <w:sz w:val="20"/>
          <w:szCs w:val="20"/>
        </w:rPr>
        <w:t>                    a) Justiça Federal, a aquisição dos edifícios-sede nos Municípios de Teresópolis – RJ, de Itapeva – SP, de Osasco – SP e de Mafra – SC; e de imóvel para estacionamento no Município de São João da Boa Vista – SP;</w:t>
      </w:r>
    </w:p>
    <w:p w:rsidR="00793581" w:rsidRPr="006C572A" w:rsidRDefault="00AF7113">
      <w:pPr>
        <w:pStyle w:val="Textbody"/>
        <w:spacing w:after="200"/>
        <w:ind w:firstLine="1134"/>
        <w:jc w:val="both"/>
        <w:rPr>
          <w:rFonts w:ascii="Arial" w:hAnsi="Arial" w:cs="Arial"/>
          <w:sz w:val="20"/>
          <w:szCs w:val="20"/>
        </w:rPr>
      </w:pPr>
      <w:r w:rsidRPr="006C572A">
        <w:rPr>
          <w:rFonts w:ascii="Arial" w:hAnsi="Arial" w:cs="Arial"/>
          <w:sz w:val="20"/>
          <w:szCs w:val="20"/>
        </w:rPr>
        <w:t xml:space="preserve">                    b) Justiça Eleitoral, o aditivo contratual para ampliação </w:t>
      </w:r>
      <w:r w:rsidRPr="006C572A">
        <w:rPr>
          <w:rFonts w:ascii="Arial" w:hAnsi="Arial" w:cs="Arial"/>
          <w:sz w:val="20"/>
          <w:szCs w:val="20"/>
        </w:rPr>
        <w:lastRenderedPageBreak/>
        <w:t>do edifício-sede do Tribunal Regional Eleitoral de Mato Grosso do Sul, relativa ao espaço atualmente ocupado pelo plenário, com a construção de ambiente destinado aos membros e autoridades, de banheiros e adequação do ambiente;</w:t>
      </w:r>
    </w:p>
    <w:p w:rsidR="00793581" w:rsidRPr="006C572A" w:rsidRDefault="00AF7113">
      <w:pPr>
        <w:pStyle w:val="Textbody"/>
        <w:spacing w:after="200"/>
        <w:ind w:firstLine="1134"/>
        <w:jc w:val="both"/>
        <w:rPr>
          <w:rFonts w:ascii="Arial" w:hAnsi="Arial" w:cs="Arial"/>
          <w:sz w:val="20"/>
          <w:szCs w:val="20"/>
        </w:rPr>
      </w:pPr>
      <w:r w:rsidRPr="006C572A">
        <w:rPr>
          <w:rFonts w:ascii="Arial" w:hAnsi="Arial" w:cs="Arial"/>
          <w:sz w:val="20"/>
          <w:szCs w:val="20"/>
        </w:rPr>
        <w:t>                    c) Justiça do Trabalho, a aquisição de terreno, no âmbito da ação de construção do edifício-sede do Fórum Trabalhista de Passo Fundo – RS, para futura construção do edifício-sede, visando proporcionar aos magistrados, servidores, terceirizados, advogados, partes e comunidade em geral espaços e infraestrutura adequados, dignos e acessíveis, bem como a contratação de empresa especializada na elaboração de projetos de arquitetura e engenharia para a construção de edifício-sede do Fórum Trabalhista de Mirassol D’Oeste – MT; e</w:t>
      </w:r>
    </w:p>
    <w:p w:rsidR="00793581" w:rsidRPr="006C572A" w:rsidRDefault="00AF7113">
      <w:pPr>
        <w:pStyle w:val="Textbody"/>
        <w:spacing w:after="200"/>
        <w:ind w:firstLine="1134"/>
        <w:jc w:val="both"/>
        <w:rPr>
          <w:rFonts w:ascii="Arial" w:hAnsi="Arial" w:cs="Arial"/>
          <w:sz w:val="20"/>
          <w:szCs w:val="20"/>
        </w:rPr>
      </w:pPr>
      <w:r w:rsidRPr="006C572A">
        <w:rPr>
          <w:rFonts w:ascii="Arial" w:hAnsi="Arial" w:cs="Arial"/>
          <w:sz w:val="20"/>
          <w:szCs w:val="20"/>
        </w:rPr>
        <w:t>                    d) Conselho Nacional de Justiça, a aquisição de edifício-sede com a previsão de abranger a infraestrutura completa e necessária ao desenvolvimento das atividades constitucionais do Conselho, órgão central de planejamento e gestão do Poder Judiciário, com a missão de tornar efetiva a prestação jurisdicional em âmbito nacional.</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 xml:space="preserve">4.                Em relação ao que dispõe o art. 54, § 4º, da Lei nº 14.791, de 29 de dezembro de 2023, Lei de Diretrizes Orçamentárias para 2024, LDO-2024, cumpre informar que as alterações propostas no presente ato não afetam a obtenção da meta de resultado primário fixada para o corrente exercício, uma </w:t>
      </w:r>
      <w:r w:rsidRPr="006C572A">
        <w:rPr>
          <w:rFonts w:ascii="Arial" w:hAnsi="Arial" w:cs="Arial"/>
          <w:sz w:val="20"/>
          <w:szCs w:val="20"/>
        </w:rPr>
        <w:lastRenderedPageBreak/>
        <w:t>vez que se referem a remanejamento entre despesas primárias, não modificando o seu montante.</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5.                No que tange aos limites individualizados para as despesas primárias, no âmbito dos órgãos do Poder Judiciário, vale informar que o crédito em questão está de acordo com o art. 3º da Lei Complementar nº 200, de 30 de agosto de 2023, por não ampliar as dotações orçamentárias sujeitas aos mencionados limites, ressaltando que as Portarias Conjuntas nº 9 e 10, de 19 de setembro de 2024, realizaram a compensação entre os citados limites individualizados, nos valores de R$ 90.000.000,00 (noventa milhões de reais) e R$ 134.400.000,00 (cento e trinta e quatro milhões e quatrocentos mil reais), tendo como órgãos cedentes a Justiça Federal e a Justiça do Trabalho, respectivamente, em favor do Conselho Nacional de Justiça.</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6.                Cabe esclarecer, em relação ao disposto no art. 167, caput, inciso III, da Constituição Federal, "Regra de Ouro", que a alteração proposta afeta positivamente o seu cumprimento.</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7.                Em atendimento ao art. 54, § 18, da LDO-2024, cumpre registrar que não há valores cancelados neste crédito que ultrapassem vinte por cento do valor inicialmente estabelecido na Lei Orçamentária de 2024 para as referidas categorias.</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8.                Acrescenta-se que os ajustes do Plano Plurianual para o período de 2024 a 2027, de que trata a Lei nº 14.802, de 10 de janeiro de 2024, porventura necessários em decorrência das alterações promovidas, deverão ser realizados de acordo com o art. 19, inciso I, da referida Lei.</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 xml:space="preserve">9.                Ressalte-se, por oportuno, que as alterações em pauta decorrem de solicitações formalizadas por meio do Sistema Integrado de Planejamento </w:t>
      </w:r>
      <w:r w:rsidRPr="006C572A">
        <w:rPr>
          <w:rFonts w:ascii="Arial" w:hAnsi="Arial" w:cs="Arial"/>
          <w:sz w:val="20"/>
          <w:szCs w:val="20"/>
        </w:rPr>
        <w:lastRenderedPageBreak/>
        <w:t>e Orçamento – SIOP, e, de acordo com os órgãos envolvidos, as programações objeto de cancelamento não sofrerão prejuízos na sua execução, uma vez que os remanejamentos foram decididos com base em projeções de suas possibilidades de dispêndio até o final do exercício atual.</w:t>
      </w:r>
    </w:p>
    <w:p w:rsidR="00793581" w:rsidRPr="006C572A" w:rsidRDefault="00AF7113">
      <w:pPr>
        <w:pStyle w:val="Textbody"/>
        <w:spacing w:after="200"/>
        <w:jc w:val="both"/>
        <w:rPr>
          <w:rFonts w:ascii="Arial" w:hAnsi="Arial" w:cs="Arial"/>
          <w:sz w:val="20"/>
          <w:szCs w:val="20"/>
        </w:rPr>
      </w:pPr>
      <w:r w:rsidRPr="006C572A">
        <w:rPr>
          <w:rFonts w:ascii="Arial" w:hAnsi="Arial" w:cs="Arial"/>
          <w:sz w:val="20"/>
          <w:szCs w:val="20"/>
        </w:rPr>
        <w:t>10.              Diante do exposto, submeto à sua consideração o anexo Projeto de Lei, que visa efetivar a abertura de crédito especial.</w:t>
      </w:r>
    </w:p>
    <w:p w:rsidR="00793581" w:rsidRPr="006C572A" w:rsidRDefault="00793581">
      <w:pPr>
        <w:pStyle w:val="Textbody"/>
        <w:spacing w:after="200"/>
        <w:ind w:firstLine="1134"/>
        <w:jc w:val="both"/>
        <w:rPr>
          <w:rFonts w:ascii="Arial" w:hAnsi="Arial" w:cs="Arial"/>
          <w:sz w:val="20"/>
          <w:szCs w:val="20"/>
        </w:rPr>
      </w:pPr>
    </w:p>
    <w:p w:rsidR="00793581" w:rsidRPr="006C572A" w:rsidRDefault="00AF7113">
      <w:pPr>
        <w:pStyle w:val="Textbody"/>
        <w:spacing w:after="1417"/>
        <w:ind w:firstLine="1134"/>
        <w:rPr>
          <w:rFonts w:ascii="Arial" w:hAnsi="Arial" w:cs="Arial"/>
          <w:sz w:val="20"/>
          <w:szCs w:val="20"/>
        </w:rPr>
      </w:pPr>
      <w:r w:rsidRPr="006C572A">
        <w:rPr>
          <w:rFonts w:ascii="Arial" w:hAnsi="Arial" w:cs="Arial"/>
          <w:sz w:val="20"/>
          <w:szCs w:val="20"/>
        </w:rPr>
        <w:t>Respeitosamente,</w:t>
      </w:r>
    </w:p>
    <w:p w:rsidR="00793581" w:rsidRPr="006C572A" w:rsidRDefault="00793581">
      <w:pPr>
        <w:pStyle w:val="Textbody"/>
        <w:spacing w:after="0"/>
        <w:jc w:val="center"/>
        <w:rPr>
          <w:rFonts w:ascii="Arial" w:hAnsi="Arial" w:cs="Arial"/>
          <w:sz w:val="20"/>
          <w:szCs w:val="20"/>
        </w:rPr>
      </w:pPr>
    </w:p>
    <w:p w:rsidR="00793581" w:rsidRPr="006C572A" w:rsidRDefault="00AF7113">
      <w:pPr>
        <w:pStyle w:val="Textbody"/>
        <w:rPr>
          <w:rFonts w:ascii="Arial" w:hAnsi="Arial" w:cs="Arial"/>
          <w:sz w:val="20"/>
          <w:szCs w:val="20"/>
        </w:rPr>
      </w:pPr>
      <w:r w:rsidRPr="006C572A">
        <w:rPr>
          <w:rFonts w:ascii="Arial" w:hAnsi="Arial" w:cs="Arial"/>
          <w:sz w:val="20"/>
          <w:szCs w:val="20"/>
        </w:rPr>
        <w:t> </w:t>
      </w:r>
    </w:p>
    <w:p w:rsidR="00793581" w:rsidRPr="006C572A" w:rsidRDefault="00AF7113">
      <w:pPr>
        <w:pStyle w:val="Textbody"/>
        <w:rPr>
          <w:rFonts w:ascii="Arial" w:hAnsi="Arial" w:cs="Arial"/>
          <w:sz w:val="20"/>
          <w:szCs w:val="20"/>
        </w:rPr>
      </w:pPr>
      <w:r w:rsidRPr="006C572A">
        <w:rPr>
          <w:rFonts w:ascii="Arial" w:hAnsi="Arial" w:cs="Arial"/>
          <w:sz w:val="20"/>
          <w:szCs w:val="20"/>
        </w:rPr>
        <w:t> </w:t>
      </w: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793581" w:rsidRPr="006C572A" w:rsidRDefault="00793581">
      <w:pPr>
        <w:pStyle w:val="Standard"/>
        <w:ind w:left="567" w:right="284"/>
        <w:rPr>
          <w:rFonts w:ascii="Arial" w:hAnsi="Arial" w:cs="Arial"/>
          <w:b/>
          <w:sz w:val="20"/>
          <w:szCs w:val="20"/>
        </w:rPr>
      </w:pPr>
    </w:p>
    <w:p w:rsidR="00AF7113" w:rsidRPr="006C572A" w:rsidRDefault="00AF7113">
      <w:pPr>
        <w:pStyle w:val="Standard"/>
        <w:ind w:left="567" w:right="284"/>
        <w:rPr>
          <w:rFonts w:ascii="Arial" w:hAnsi="Arial" w:cs="Arial"/>
          <w:b/>
          <w:i/>
          <w:sz w:val="20"/>
          <w:szCs w:val="20"/>
        </w:rPr>
        <w:sectPr w:rsidR="00AF7113" w:rsidRPr="006C572A">
          <w:pgSz w:w="11906" w:h="16838"/>
          <w:pgMar w:top="1134" w:right="1134" w:bottom="1134" w:left="1134" w:header="720" w:footer="720" w:gutter="0"/>
          <w:cols w:space="720"/>
        </w:sectPr>
      </w:pPr>
      <w:r w:rsidRPr="006C572A">
        <w:rPr>
          <w:rFonts w:ascii="Arial" w:hAnsi="Arial" w:cs="Arial"/>
          <w:b/>
          <w:i/>
          <w:sz w:val="20"/>
          <w:szCs w:val="20"/>
        </w:rPr>
        <w:t>Assinado eletronicamente por: Simone Tebet</w:t>
      </w:r>
    </w:p>
    <w:p w:rsidR="00AF7113" w:rsidRPr="006C572A" w:rsidRDefault="00AF7113" w:rsidP="320CF07D">
      <w:pPr>
        <w:ind w:right="-1"/>
        <w:jc w:val="center"/>
        <w:rPr>
          <w:rFonts w:ascii="Arial" w:hAnsi="Arial" w:cs="Arial"/>
          <w:sz w:val="20"/>
          <w:szCs w:val="20"/>
        </w:rPr>
      </w:pPr>
      <w:r w:rsidRPr="006C572A">
        <w:rPr>
          <w:rFonts w:ascii="Arial" w:hAnsi="Arial" w:cs="Arial"/>
          <w:spacing w:val="-3"/>
          <w:sz w:val="20"/>
          <w:szCs w:val="20"/>
        </w:rPr>
        <w:lastRenderedPageBreak/>
        <w:t>QUADRO ANEXO À EXPOSIÇÃO DE MOTIVOS DO MINISTÉRIO DO PLANEJAMENTO E ORÇAMENTO N</w:t>
      </w:r>
      <w:r w:rsidRPr="006C572A">
        <w:rPr>
          <w:rFonts w:ascii="Arial" w:hAnsi="Arial" w:cs="Arial"/>
          <w:sz w:val="20"/>
          <w:szCs w:val="20"/>
          <w:u w:val="single"/>
          <w:vertAlign w:val="superscript"/>
        </w:rPr>
        <w:t>o</w:t>
      </w:r>
      <w:r w:rsidRPr="006C572A">
        <w:rPr>
          <w:rFonts w:ascii="Arial" w:hAnsi="Arial" w:cs="Arial"/>
          <w:spacing w:val="-3"/>
          <w:sz w:val="20"/>
          <w:szCs w:val="20"/>
        </w:rPr>
        <w:t xml:space="preserve"> 87, DE 03/10/202</w:t>
      </w:r>
      <w:r w:rsidRPr="006C572A">
        <w:rPr>
          <w:rFonts w:ascii="Arial" w:hAnsi="Arial" w:cs="Arial"/>
          <w:sz w:val="20"/>
          <w:szCs w:val="20"/>
        </w:rPr>
        <w:t>4</w:t>
      </w:r>
    </w:p>
    <w:p w:rsidR="00AF7113" w:rsidRPr="006C572A" w:rsidRDefault="00AF7113" w:rsidP="00C4776D">
      <w:pPr>
        <w:jc w:val="right"/>
        <w:rPr>
          <w:rFonts w:ascii="Arial" w:hAnsi="Arial" w:cs="Arial"/>
          <w:sz w:val="20"/>
          <w:szCs w:val="20"/>
        </w:rPr>
      </w:pPr>
    </w:p>
    <w:p w:rsidR="00AF7113" w:rsidRPr="006C572A" w:rsidRDefault="00AF7113" w:rsidP="00C4776D">
      <w:pPr>
        <w:jc w:val="right"/>
        <w:rPr>
          <w:rFonts w:ascii="Arial" w:hAnsi="Arial" w:cs="Arial"/>
          <w:sz w:val="20"/>
          <w:szCs w:val="20"/>
        </w:rPr>
      </w:pPr>
    </w:p>
    <w:p w:rsidR="00AF7113" w:rsidRPr="006C572A" w:rsidRDefault="00AF7113" w:rsidP="00C4776D">
      <w:pPr>
        <w:jc w:val="right"/>
        <w:rPr>
          <w:rFonts w:ascii="Arial" w:hAnsi="Arial" w:cs="Arial"/>
          <w:sz w:val="20"/>
          <w:szCs w:val="20"/>
        </w:rPr>
      </w:pPr>
      <w:r w:rsidRPr="006C572A">
        <w:rPr>
          <w:rFonts w:ascii="Arial" w:hAnsi="Arial" w:cs="Arial"/>
          <w:sz w:val="20"/>
          <w:szCs w:val="20"/>
        </w:rPr>
        <w:t xml:space="preserve">  R$ 1,00</w:t>
      </w:r>
    </w:p>
    <w:tbl>
      <w:tblPr>
        <w:tblW w:w="9545" w:type="dxa"/>
        <w:tblInd w:w="70" w:type="dxa"/>
        <w:tblCellMar>
          <w:left w:w="70" w:type="dxa"/>
          <w:right w:w="70" w:type="dxa"/>
        </w:tblCellMar>
        <w:tblLook w:val="04A0" w:firstRow="1" w:lastRow="0" w:firstColumn="1" w:lastColumn="0" w:noHBand="0" w:noVBand="1"/>
      </w:tblPr>
      <w:tblGrid>
        <w:gridCol w:w="6096"/>
        <w:gridCol w:w="1718"/>
        <w:gridCol w:w="1731"/>
      </w:tblGrid>
      <w:tr w:rsidR="00AF7113" w:rsidRPr="006C572A" w:rsidTr="00616D3F">
        <w:trPr>
          <w:trHeight w:val="630"/>
        </w:trPr>
        <w:tc>
          <w:tcPr>
            <w:tcW w:w="6096" w:type="dxa"/>
            <w:tcBorders>
              <w:top w:val="single" w:sz="4" w:space="0" w:color="auto"/>
              <w:left w:val="nil"/>
              <w:bottom w:val="single" w:sz="4" w:space="0" w:color="auto"/>
              <w:right w:val="single" w:sz="4" w:space="0" w:color="auto"/>
            </w:tcBorders>
            <w:shd w:val="clear" w:color="auto" w:fill="FFFFFF"/>
            <w:vAlign w:val="center"/>
            <w:hideMark/>
          </w:tcPr>
          <w:p w:rsidR="00AF7113" w:rsidRPr="006C572A" w:rsidRDefault="00AF7113" w:rsidP="00ED2DFD">
            <w:pPr>
              <w:jc w:val="center"/>
              <w:rPr>
                <w:rFonts w:ascii="Arial" w:hAnsi="Arial" w:cs="Arial"/>
                <w:b/>
                <w:bCs/>
                <w:color w:val="000000"/>
                <w:sz w:val="20"/>
                <w:szCs w:val="20"/>
              </w:rPr>
            </w:pPr>
            <w:r w:rsidRPr="006C572A">
              <w:rPr>
                <w:rFonts w:ascii="Arial" w:hAnsi="Arial" w:cs="Arial"/>
                <w:b/>
                <w:bCs/>
                <w:color w:val="000000"/>
                <w:sz w:val="20"/>
                <w:szCs w:val="20"/>
              </w:rPr>
              <w:t>Discriminação</w:t>
            </w:r>
          </w:p>
        </w:tc>
        <w:tc>
          <w:tcPr>
            <w:tcW w:w="1718" w:type="dxa"/>
            <w:tcBorders>
              <w:top w:val="single" w:sz="4" w:space="0" w:color="auto"/>
              <w:left w:val="nil"/>
              <w:bottom w:val="single" w:sz="4" w:space="0" w:color="auto"/>
              <w:right w:val="single" w:sz="4" w:space="0" w:color="auto"/>
            </w:tcBorders>
            <w:shd w:val="clear" w:color="auto" w:fill="FFFFFF"/>
            <w:vAlign w:val="center"/>
            <w:hideMark/>
          </w:tcPr>
          <w:p w:rsidR="00AF7113" w:rsidRPr="006C572A" w:rsidRDefault="00AF7113" w:rsidP="00F0559B">
            <w:pPr>
              <w:jc w:val="center"/>
              <w:rPr>
                <w:rFonts w:ascii="Arial" w:hAnsi="Arial" w:cs="Arial"/>
                <w:b/>
                <w:bCs/>
                <w:color w:val="000000"/>
                <w:sz w:val="20"/>
                <w:szCs w:val="20"/>
              </w:rPr>
            </w:pPr>
            <w:r w:rsidRPr="006C572A">
              <w:rPr>
                <w:rFonts w:ascii="Arial" w:hAnsi="Arial" w:cs="Arial"/>
                <w:b/>
                <w:bCs/>
                <w:color w:val="000000"/>
                <w:sz w:val="20"/>
                <w:szCs w:val="20"/>
              </w:rPr>
              <w:t>Aplicação</w:t>
            </w:r>
          </w:p>
        </w:tc>
        <w:tc>
          <w:tcPr>
            <w:tcW w:w="1731" w:type="dxa"/>
            <w:tcBorders>
              <w:top w:val="single" w:sz="4" w:space="0" w:color="auto"/>
              <w:left w:val="nil"/>
              <w:bottom w:val="single" w:sz="4" w:space="0" w:color="auto"/>
              <w:right w:val="nil"/>
            </w:tcBorders>
            <w:shd w:val="clear" w:color="auto" w:fill="FFFFFF"/>
            <w:vAlign w:val="center"/>
            <w:hideMark/>
          </w:tcPr>
          <w:p w:rsidR="00AF7113" w:rsidRPr="006C572A" w:rsidRDefault="00AF7113" w:rsidP="00ED2DFD">
            <w:pPr>
              <w:jc w:val="center"/>
              <w:rPr>
                <w:rFonts w:ascii="Arial" w:hAnsi="Arial" w:cs="Arial"/>
                <w:b/>
                <w:bCs/>
                <w:color w:val="000000"/>
                <w:sz w:val="20"/>
                <w:szCs w:val="20"/>
              </w:rPr>
            </w:pPr>
            <w:r w:rsidRPr="006C572A">
              <w:rPr>
                <w:rFonts w:ascii="Arial" w:hAnsi="Arial" w:cs="Arial"/>
                <w:b/>
                <w:bCs/>
                <w:color w:val="000000"/>
                <w:sz w:val="20"/>
                <w:szCs w:val="20"/>
              </w:rPr>
              <w:t>Origem dos Recursos</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00421A5D">
            <w:pPr>
              <w:rPr>
                <w:rFonts w:ascii="Arial" w:hAnsi="Arial" w:cs="Arial"/>
                <w:b/>
                <w:bCs/>
                <w:color w:val="000000"/>
                <w:sz w:val="20"/>
                <w:szCs w:val="20"/>
              </w:rPr>
            </w:pPr>
            <w:r w:rsidRPr="006C572A">
              <w:rPr>
                <w:rFonts w:ascii="Arial" w:hAnsi="Arial" w:cs="Arial"/>
                <w:b/>
                <w:bCs/>
                <w:color w:val="000000"/>
                <w:sz w:val="20"/>
                <w:szCs w:val="20"/>
              </w:rPr>
              <w:t>Justiça Federal</w:t>
            </w:r>
          </w:p>
        </w:tc>
        <w:tc>
          <w:tcPr>
            <w:tcW w:w="1718" w:type="dxa"/>
            <w:tcBorders>
              <w:left w:val="nil"/>
              <w:right w:val="single" w:sz="4" w:space="0" w:color="auto"/>
            </w:tcBorders>
            <w:shd w:val="clear" w:color="auto" w:fill="FFFFFF"/>
          </w:tcPr>
          <w:p w:rsidR="00AF7113" w:rsidRPr="006C572A" w:rsidRDefault="00AF7113" w:rsidP="320CF07D">
            <w:pPr>
              <w:jc w:val="right"/>
              <w:rPr>
                <w:rFonts w:ascii="Arial" w:hAnsi="Arial" w:cs="Arial"/>
                <w:b/>
                <w:color w:val="000000"/>
                <w:sz w:val="20"/>
                <w:szCs w:val="20"/>
              </w:rPr>
            </w:pPr>
            <w:r w:rsidRPr="006C572A">
              <w:rPr>
                <w:rFonts w:ascii="Arial" w:hAnsi="Arial" w:cs="Arial"/>
                <w:b/>
                <w:bCs/>
                <w:color w:val="000000"/>
                <w:sz w:val="20"/>
                <w:szCs w:val="20"/>
              </w:rPr>
              <w:t>35.843.000</w:t>
            </w:r>
          </w:p>
        </w:tc>
        <w:tc>
          <w:tcPr>
            <w:tcW w:w="1731" w:type="dxa"/>
            <w:tcBorders>
              <w:left w:val="nil"/>
              <w:right w:val="nil"/>
            </w:tcBorders>
            <w:shd w:val="clear" w:color="auto" w:fill="FFFFFF"/>
          </w:tcPr>
          <w:p w:rsidR="00AF7113" w:rsidRPr="006C572A" w:rsidRDefault="00AF7113" w:rsidP="320CF07D">
            <w:pPr>
              <w:jc w:val="right"/>
              <w:rPr>
                <w:rFonts w:ascii="Arial" w:hAnsi="Arial" w:cs="Arial"/>
                <w:b/>
                <w:color w:val="000000"/>
                <w:sz w:val="20"/>
                <w:szCs w:val="20"/>
              </w:rPr>
            </w:pPr>
            <w:r w:rsidRPr="006C572A">
              <w:rPr>
                <w:rFonts w:ascii="Arial" w:hAnsi="Arial" w:cs="Arial"/>
                <w:b/>
                <w:sz w:val="20"/>
                <w:szCs w:val="20"/>
              </w:rPr>
              <w:t>125.843.000</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hAnsi="Arial" w:cs="Arial"/>
                <w:sz w:val="20"/>
                <w:szCs w:val="20"/>
                <w:lang w:eastAsia="en-US"/>
              </w:rPr>
            </w:pPr>
            <w:r w:rsidRPr="006C572A">
              <w:rPr>
                <w:rFonts w:ascii="Arial" w:hAnsi="Arial" w:cs="Arial"/>
                <w:sz w:val="20"/>
                <w:szCs w:val="20"/>
                <w:lang w:eastAsia="en-US"/>
              </w:rPr>
              <w:t>Justiça Federal de Primeiro Grau</w:t>
            </w:r>
          </w:p>
        </w:tc>
        <w:tc>
          <w:tcPr>
            <w:tcW w:w="1718" w:type="dxa"/>
            <w:tcBorders>
              <w:left w:val="nil"/>
              <w:right w:val="single" w:sz="4" w:space="0" w:color="auto"/>
            </w:tcBorders>
            <w:shd w:val="clear" w:color="auto" w:fill="FFFFFF"/>
          </w:tcPr>
          <w:p w:rsidR="00AF7113" w:rsidRPr="006C572A" w:rsidRDefault="00AF7113" w:rsidP="003B2A61">
            <w:pPr>
              <w:jc w:val="right"/>
              <w:rPr>
                <w:rFonts w:ascii="Arial" w:hAnsi="Arial" w:cs="Arial"/>
                <w:sz w:val="20"/>
                <w:szCs w:val="20"/>
              </w:rPr>
            </w:pPr>
            <w:r w:rsidRPr="006C572A">
              <w:rPr>
                <w:rFonts w:ascii="Arial" w:eastAsia="Calibri" w:hAnsi="Arial" w:cs="Arial"/>
                <w:sz w:val="20"/>
                <w:szCs w:val="20"/>
                <w:lang w:eastAsia="en-US"/>
              </w:rPr>
              <w:t>35.843.000</w:t>
            </w:r>
          </w:p>
        </w:tc>
        <w:tc>
          <w:tcPr>
            <w:tcW w:w="1731" w:type="dxa"/>
            <w:tcBorders>
              <w:left w:val="nil"/>
              <w:right w:val="nil"/>
            </w:tcBorders>
            <w:shd w:val="clear" w:color="auto" w:fill="FFFFFF"/>
          </w:tcPr>
          <w:p w:rsidR="00AF7113" w:rsidRPr="006C572A" w:rsidRDefault="00AF7113" w:rsidP="003B2A61">
            <w:pPr>
              <w:jc w:val="right"/>
              <w:rPr>
                <w:rFonts w:ascii="Arial" w:hAnsi="Arial" w:cs="Arial"/>
                <w:sz w:val="20"/>
                <w:szCs w:val="20"/>
              </w:rPr>
            </w:pPr>
            <w:r w:rsidRPr="006C572A">
              <w:rPr>
                <w:rFonts w:ascii="Arial" w:hAnsi="Arial" w:cs="Arial"/>
                <w:sz w:val="20"/>
                <w:szCs w:val="20"/>
              </w:rPr>
              <w:t>124.560.662</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hAnsi="Arial" w:cs="Arial"/>
                <w:sz w:val="20"/>
                <w:szCs w:val="20"/>
                <w:lang w:eastAsia="en-US"/>
              </w:rPr>
            </w:pPr>
            <w:r w:rsidRPr="006C572A">
              <w:rPr>
                <w:rFonts w:ascii="Arial" w:hAnsi="Arial" w:cs="Arial"/>
                <w:sz w:val="20"/>
                <w:szCs w:val="20"/>
                <w:lang w:eastAsia="en-US"/>
              </w:rPr>
              <w:t>Tribunal Regional Federal da 3a. Região</w:t>
            </w:r>
          </w:p>
        </w:tc>
        <w:tc>
          <w:tcPr>
            <w:tcW w:w="1718" w:type="dxa"/>
            <w:tcBorders>
              <w:left w:val="nil"/>
              <w:right w:val="single" w:sz="4" w:space="0" w:color="auto"/>
            </w:tcBorders>
            <w:shd w:val="clear" w:color="auto" w:fill="FFFFFF"/>
          </w:tcPr>
          <w:p w:rsidR="00AF7113" w:rsidRPr="006C572A" w:rsidRDefault="00AF7113" w:rsidP="003B2A61">
            <w:pPr>
              <w:jc w:val="right"/>
              <w:rPr>
                <w:rFonts w:ascii="Arial" w:hAnsi="Arial" w:cs="Arial"/>
                <w:sz w:val="20"/>
                <w:szCs w:val="20"/>
                <w:lang w:eastAsia="en-US"/>
              </w:rPr>
            </w:pPr>
            <w:r w:rsidRPr="006C572A">
              <w:rPr>
                <w:rFonts w:ascii="Arial" w:hAnsi="Arial" w:cs="Arial"/>
                <w:sz w:val="20"/>
                <w:szCs w:val="20"/>
                <w:lang w:eastAsia="en-US"/>
              </w:rPr>
              <w:t>0</w:t>
            </w:r>
          </w:p>
        </w:tc>
        <w:tc>
          <w:tcPr>
            <w:tcW w:w="1731" w:type="dxa"/>
            <w:tcBorders>
              <w:left w:val="nil"/>
              <w:right w:val="nil"/>
            </w:tcBorders>
            <w:shd w:val="clear" w:color="auto" w:fill="FFFFFF"/>
          </w:tcPr>
          <w:p w:rsidR="00AF7113" w:rsidRPr="006C572A" w:rsidRDefault="00AF7113" w:rsidP="003B2A61">
            <w:pPr>
              <w:jc w:val="right"/>
              <w:rPr>
                <w:rFonts w:ascii="Arial" w:hAnsi="Arial" w:cs="Arial"/>
                <w:sz w:val="20"/>
                <w:szCs w:val="20"/>
                <w:lang w:eastAsia="en-US"/>
              </w:rPr>
            </w:pPr>
            <w:r w:rsidRPr="006C572A">
              <w:rPr>
                <w:rFonts w:ascii="Arial" w:eastAsia="Calibri" w:hAnsi="Arial" w:cs="Arial"/>
                <w:sz w:val="20"/>
                <w:szCs w:val="20"/>
                <w:lang w:eastAsia="en-US"/>
              </w:rPr>
              <w:t>1.282.338</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hAnsi="Arial" w:cs="Arial"/>
                <w:sz w:val="20"/>
                <w:szCs w:val="20"/>
                <w:lang w:eastAsia="en-US"/>
              </w:rPr>
            </w:pPr>
          </w:p>
        </w:tc>
        <w:tc>
          <w:tcPr>
            <w:tcW w:w="1718" w:type="dxa"/>
            <w:tcBorders>
              <w:left w:val="nil"/>
              <w:right w:val="single" w:sz="4" w:space="0" w:color="auto"/>
            </w:tcBorders>
            <w:shd w:val="clear" w:color="auto" w:fill="FFFFFF"/>
          </w:tcPr>
          <w:p w:rsidR="00AF7113" w:rsidRPr="006C572A" w:rsidRDefault="00AF7113" w:rsidP="003B2A61">
            <w:pPr>
              <w:jc w:val="right"/>
              <w:rPr>
                <w:rFonts w:ascii="Arial" w:hAnsi="Arial" w:cs="Arial"/>
                <w:sz w:val="20"/>
                <w:szCs w:val="20"/>
              </w:rPr>
            </w:pPr>
          </w:p>
        </w:tc>
        <w:tc>
          <w:tcPr>
            <w:tcW w:w="1731" w:type="dxa"/>
            <w:tcBorders>
              <w:left w:val="nil"/>
              <w:right w:val="nil"/>
            </w:tcBorders>
            <w:shd w:val="clear" w:color="auto" w:fill="FFFFFF"/>
          </w:tcPr>
          <w:p w:rsidR="00AF7113" w:rsidRPr="006C572A" w:rsidRDefault="00AF7113" w:rsidP="003B2A61">
            <w:pPr>
              <w:jc w:val="right"/>
              <w:rPr>
                <w:rFonts w:ascii="Arial" w:hAnsi="Arial" w:cs="Arial"/>
                <w:sz w:val="20"/>
                <w:szCs w:val="20"/>
              </w:rPr>
            </w:pP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hAnsi="Arial" w:cs="Arial"/>
                <w:b/>
                <w:sz w:val="20"/>
                <w:szCs w:val="20"/>
                <w:lang w:eastAsia="en-US"/>
              </w:rPr>
            </w:pPr>
            <w:r w:rsidRPr="006C572A">
              <w:rPr>
                <w:rFonts w:ascii="Arial" w:eastAsia="Calibri" w:hAnsi="Arial" w:cs="Arial"/>
                <w:b/>
                <w:bCs/>
                <w:sz w:val="20"/>
                <w:szCs w:val="20"/>
                <w:lang w:eastAsia="en-US"/>
              </w:rPr>
              <w:t>Justiça Eleitoral</w:t>
            </w:r>
          </w:p>
        </w:tc>
        <w:tc>
          <w:tcPr>
            <w:tcW w:w="1718" w:type="dxa"/>
            <w:tcBorders>
              <w:left w:val="nil"/>
              <w:right w:val="single" w:sz="4" w:space="0" w:color="auto"/>
            </w:tcBorders>
            <w:shd w:val="clear" w:color="auto" w:fill="FFFFFF"/>
          </w:tcPr>
          <w:p w:rsidR="00AF7113" w:rsidRPr="006C572A" w:rsidRDefault="00AF7113" w:rsidP="003B2A61">
            <w:pPr>
              <w:jc w:val="right"/>
              <w:rPr>
                <w:rFonts w:ascii="Arial" w:hAnsi="Arial" w:cs="Arial"/>
                <w:b/>
                <w:sz w:val="20"/>
                <w:szCs w:val="20"/>
              </w:rPr>
            </w:pPr>
            <w:r w:rsidRPr="006C572A">
              <w:rPr>
                <w:rFonts w:ascii="Arial" w:hAnsi="Arial" w:cs="Arial"/>
                <w:b/>
                <w:sz w:val="20"/>
                <w:szCs w:val="20"/>
              </w:rPr>
              <w:t>775.000</w:t>
            </w:r>
          </w:p>
        </w:tc>
        <w:tc>
          <w:tcPr>
            <w:tcW w:w="1731" w:type="dxa"/>
            <w:tcBorders>
              <w:left w:val="nil"/>
              <w:right w:val="nil"/>
            </w:tcBorders>
            <w:shd w:val="clear" w:color="auto" w:fill="FFFFFF"/>
          </w:tcPr>
          <w:p w:rsidR="00AF7113" w:rsidRPr="006C572A" w:rsidRDefault="00AF7113" w:rsidP="003B2A61">
            <w:pPr>
              <w:jc w:val="right"/>
              <w:rPr>
                <w:rFonts w:ascii="Arial" w:hAnsi="Arial" w:cs="Arial"/>
                <w:b/>
                <w:sz w:val="20"/>
                <w:szCs w:val="20"/>
              </w:rPr>
            </w:pPr>
            <w:r w:rsidRPr="006C572A">
              <w:rPr>
                <w:rFonts w:ascii="Arial" w:hAnsi="Arial" w:cs="Arial"/>
                <w:b/>
                <w:sz w:val="20"/>
                <w:szCs w:val="20"/>
              </w:rPr>
              <w:t>775.000</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hAnsi="Arial" w:cs="Arial"/>
                <w:sz w:val="20"/>
                <w:szCs w:val="20"/>
                <w:lang w:eastAsia="en-US"/>
              </w:rPr>
            </w:pPr>
            <w:r w:rsidRPr="006C572A">
              <w:rPr>
                <w:rFonts w:ascii="Arial" w:eastAsia="Calibri" w:hAnsi="Arial" w:cs="Arial"/>
                <w:sz w:val="20"/>
                <w:szCs w:val="20"/>
                <w:lang w:eastAsia="en-US"/>
              </w:rPr>
              <w:t>Tribunal Regional Eleitoral de Mato Grosso do Sul</w:t>
            </w:r>
          </w:p>
        </w:tc>
        <w:tc>
          <w:tcPr>
            <w:tcW w:w="1718" w:type="dxa"/>
            <w:tcBorders>
              <w:left w:val="nil"/>
              <w:right w:val="single" w:sz="4" w:space="0" w:color="auto"/>
            </w:tcBorders>
            <w:shd w:val="clear" w:color="auto" w:fill="FFFFFF"/>
          </w:tcPr>
          <w:p w:rsidR="00AF7113" w:rsidRPr="006C572A" w:rsidRDefault="00AF7113" w:rsidP="003B2A61">
            <w:pPr>
              <w:jc w:val="right"/>
              <w:rPr>
                <w:rFonts w:ascii="Arial" w:hAnsi="Arial" w:cs="Arial"/>
                <w:sz w:val="20"/>
                <w:szCs w:val="20"/>
              </w:rPr>
            </w:pPr>
            <w:r w:rsidRPr="006C572A">
              <w:rPr>
                <w:rFonts w:ascii="Arial" w:hAnsi="Arial" w:cs="Arial"/>
                <w:sz w:val="20"/>
                <w:szCs w:val="20"/>
              </w:rPr>
              <w:t>775.000</w:t>
            </w:r>
          </w:p>
        </w:tc>
        <w:tc>
          <w:tcPr>
            <w:tcW w:w="1731" w:type="dxa"/>
            <w:tcBorders>
              <w:left w:val="nil"/>
              <w:right w:val="nil"/>
            </w:tcBorders>
            <w:shd w:val="clear" w:color="auto" w:fill="FFFFFF"/>
          </w:tcPr>
          <w:p w:rsidR="00AF7113" w:rsidRPr="006C572A" w:rsidRDefault="00AF7113" w:rsidP="003B2A61">
            <w:pPr>
              <w:jc w:val="right"/>
              <w:rPr>
                <w:rFonts w:ascii="Arial" w:hAnsi="Arial" w:cs="Arial"/>
                <w:sz w:val="20"/>
                <w:szCs w:val="20"/>
              </w:rPr>
            </w:pPr>
            <w:r w:rsidRPr="006C572A">
              <w:rPr>
                <w:rFonts w:ascii="Arial" w:hAnsi="Arial" w:cs="Arial"/>
                <w:sz w:val="20"/>
                <w:szCs w:val="20"/>
              </w:rPr>
              <w:t>775.000</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hAnsi="Arial" w:cs="Arial"/>
                <w:sz w:val="20"/>
                <w:szCs w:val="20"/>
                <w:lang w:eastAsia="en-US"/>
              </w:rPr>
            </w:pPr>
          </w:p>
        </w:tc>
        <w:tc>
          <w:tcPr>
            <w:tcW w:w="1718" w:type="dxa"/>
            <w:tcBorders>
              <w:left w:val="nil"/>
              <w:right w:val="single" w:sz="4" w:space="0" w:color="auto"/>
            </w:tcBorders>
            <w:shd w:val="clear" w:color="auto" w:fill="FFFFFF"/>
          </w:tcPr>
          <w:p w:rsidR="00AF7113" w:rsidRPr="006C572A" w:rsidRDefault="00AF7113" w:rsidP="003B2A61">
            <w:pPr>
              <w:jc w:val="right"/>
              <w:rPr>
                <w:rFonts w:ascii="Arial" w:hAnsi="Arial" w:cs="Arial"/>
                <w:sz w:val="20"/>
                <w:szCs w:val="20"/>
              </w:rPr>
            </w:pPr>
          </w:p>
        </w:tc>
        <w:tc>
          <w:tcPr>
            <w:tcW w:w="1731" w:type="dxa"/>
            <w:tcBorders>
              <w:left w:val="nil"/>
              <w:right w:val="nil"/>
            </w:tcBorders>
            <w:shd w:val="clear" w:color="auto" w:fill="FFFFFF"/>
          </w:tcPr>
          <w:p w:rsidR="00AF7113" w:rsidRPr="006C572A" w:rsidRDefault="00AF7113" w:rsidP="003B2A61">
            <w:pPr>
              <w:jc w:val="right"/>
              <w:rPr>
                <w:rFonts w:ascii="Arial" w:hAnsi="Arial" w:cs="Arial"/>
                <w:sz w:val="20"/>
                <w:szCs w:val="20"/>
              </w:rPr>
            </w:pP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002A4D12">
            <w:pPr>
              <w:rPr>
                <w:rFonts w:ascii="Arial" w:hAnsi="Arial" w:cs="Arial"/>
                <w:b/>
                <w:sz w:val="20"/>
                <w:szCs w:val="20"/>
                <w:lang w:eastAsia="en-US"/>
              </w:rPr>
            </w:pPr>
            <w:r w:rsidRPr="006C572A">
              <w:rPr>
                <w:rFonts w:ascii="Arial" w:eastAsia="Calibri" w:hAnsi="Arial" w:cs="Arial"/>
                <w:b/>
                <w:bCs/>
                <w:sz w:val="20"/>
                <w:szCs w:val="20"/>
                <w:lang w:eastAsia="en-US"/>
              </w:rPr>
              <w:t>Justiça do Trabalho</w:t>
            </w:r>
          </w:p>
        </w:tc>
        <w:tc>
          <w:tcPr>
            <w:tcW w:w="1718" w:type="dxa"/>
            <w:tcBorders>
              <w:left w:val="nil"/>
              <w:right w:val="single" w:sz="4" w:space="0" w:color="auto"/>
            </w:tcBorders>
            <w:shd w:val="clear" w:color="auto" w:fill="FFFFFF"/>
          </w:tcPr>
          <w:p w:rsidR="00AF7113" w:rsidRPr="006C572A" w:rsidRDefault="00AF7113" w:rsidP="002A4D12">
            <w:pPr>
              <w:jc w:val="right"/>
              <w:rPr>
                <w:rFonts w:ascii="Arial" w:hAnsi="Arial" w:cs="Arial"/>
                <w:b/>
                <w:sz w:val="20"/>
                <w:szCs w:val="20"/>
              </w:rPr>
            </w:pPr>
            <w:r w:rsidRPr="006C572A">
              <w:rPr>
                <w:rFonts w:ascii="Arial" w:eastAsia="Calibri" w:hAnsi="Arial" w:cs="Arial"/>
                <w:b/>
                <w:bCs/>
                <w:sz w:val="20"/>
                <w:szCs w:val="20"/>
                <w:lang w:eastAsia="en-US"/>
              </w:rPr>
              <w:t>12.671.008</w:t>
            </w:r>
          </w:p>
        </w:tc>
        <w:tc>
          <w:tcPr>
            <w:tcW w:w="1731" w:type="dxa"/>
            <w:tcBorders>
              <w:left w:val="nil"/>
              <w:right w:val="nil"/>
            </w:tcBorders>
            <w:shd w:val="clear" w:color="auto" w:fill="FFFFFF"/>
          </w:tcPr>
          <w:p w:rsidR="00AF7113" w:rsidRPr="006C572A" w:rsidRDefault="00AF7113" w:rsidP="002A4D12">
            <w:pPr>
              <w:jc w:val="right"/>
              <w:rPr>
                <w:rFonts w:ascii="Arial" w:hAnsi="Arial" w:cs="Arial"/>
                <w:b/>
                <w:sz w:val="20"/>
                <w:szCs w:val="20"/>
              </w:rPr>
            </w:pPr>
            <w:r w:rsidRPr="006C572A">
              <w:rPr>
                <w:rFonts w:ascii="Arial" w:hAnsi="Arial" w:cs="Arial"/>
                <w:b/>
                <w:sz w:val="20"/>
                <w:szCs w:val="20"/>
              </w:rPr>
              <w:t>147.071.008</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hAnsi="Arial" w:cs="Arial"/>
                <w:sz w:val="20"/>
                <w:szCs w:val="20"/>
                <w:lang w:eastAsia="en-US"/>
              </w:rPr>
            </w:pPr>
            <w:r w:rsidRPr="006C572A">
              <w:rPr>
                <w:rFonts w:ascii="Arial" w:eastAsia="Calibri" w:hAnsi="Arial" w:cs="Arial"/>
                <w:sz w:val="20"/>
                <w:szCs w:val="20"/>
                <w:lang w:eastAsia="en-US"/>
              </w:rPr>
              <w:t>Tribunal Superior do Trabalho</w:t>
            </w:r>
          </w:p>
        </w:tc>
        <w:tc>
          <w:tcPr>
            <w:tcW w:w="1718" w:type="dxa"/>
            <w:tcBorders>
              <w:left w:val="nil"/>
              <w:right w:val="single" w:sz="4" w:space="0" w:color="auto"/>
            </w:tcBorders>
            <w:shd w:val="clear" w:color="auto" w:fill="FFFFFF"/>
          </w:tcPr>
          <w:p w:rsidR="00AF7113" w:rsidRPr="006C572A" w:rsidRDefault="00AF7113" w:rsidP="003B2A61">
            <w:pPr>
              <w:jc w:val="right"/>
              <w:rPr>
                <w:rFonts w:ascii="Arial" w:hAnsi="Arial" w:cs="Arial"/>
                <w:sz w:val="20"/>
                <w:szCs w:val="20"/>
              </w:rPr>
            </w:pPr>
            <w:r w:rsidRPr="006C572A">
              <w:rPr>
                <w:rFonts w:ascii="Arial" w:hAnsi="Arial" w:cs="Arial"/>
                <w:sz w:val="20"/>
                <w:szCs w:val="20"/>
              </w:rPr>
              <w:t>0</w:t>
            </w:r>
          </w:p>
        </w:tc>
        <w:tc>
          <w:tcPr>
            <w:tcW w:w="1731" w:type="dxa"/>
            <w:tcBorders>
              <w:left w:val="nil"/>
              <w:right w:val="nil"/>
            </w:tcBorders>
            <w:shd w:val="clear" w:color="auto" w:fill="FFFFFF"/>
          </w:tcPr>
          <w:p w:rsidR="00AF7113" w:rsidRPr="006C572A" w:rsidRDefault="00AF7113" w:rsidP="003B2A61">
            <w:pPr>
              <w:jc w:val="right"/>
              <w:rPr>
                <w:rFonts w:ascii="Arial" w:hAnsi="Arial" w:cs="Arial"/>
                <w:sz w:val="20"/>
                <w:szCs w:val="20"/>
              </w:rPr>
            </w:pPr>
            <w:r w:rsidRPr="006C572A">
              <w:rPr>
                <w:rFonts w:ascii="Arial" w:hAnsi="Arial" w:cs="Arial"/>
                <w:sz w:val="20"/>
                <w:szCs w:val="20"/>
              </w:rPr>
              <w:t>146.975.000</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hAnsi="Arial" w:cs="Arial"/>
                <w:sz w:val="20"/>
                <w:szCs w:val="20"/>
                <w:lang w:eastAsia="en-US"/>
              </w:rPr>
            </w:pPr>
            <w:r w:rsidRPr="006C572A">
              <w:rPr>
                <w:rFonts w:ascii="Arial" w:eastAsia="Calibri" w:hAnsi="Arial" w:cs="Arial"/>
                <w:sz w:val="20"/>
                <w:szCs w:val="20"/>
                <w:lang w:eastAsia="en-US"/>
              </w:rPr>
              <w:t>Tribunal Regional do Trabalho da 4a. Região - Rio Grande do Sul</w:t>
            </w:r>
          </w:p>
        </w:tc>
        <w:tc>
          <w:tcPr>
            <w:tcW w:w="1718" w:type="dxa"/>
            <w:tcBorders>
              <w:left w:val="nil"/>
              <w:right w:val="single" w:sz="4" w:space="0" w:color="auto"/>
            </w:tcBorders>
            <w:shd w:val="clear" w:color="auto" w:fill="FFFFFF"/>
          </w:tcPr>
          <w:p w:rsidR="00AF7113" w:rsidRPr="006C572A" w:rsidRDefault="00AF7113" w:rsidP="1C145603">
            <w:pPr>
              <w:jc w:val="right"/>
              <w:rPr>
                <w:rFonts w:ascii="Arial" w:hAnsi="Arial" w:cs="Arial"/>
                <w:sz w:val="20"/>
                <w:szCs w:val="20"/>
                <w:lang w:eastAsia="en-US"/>
              </w:rPr>
            </w:pPr>
          </w:p>
          <w:p w:rsidR="00AF7113" w:rsidRPr="006C572A" w:rsidRDefault="00AF7113" w:rsidP="003B2A61">
            <w:pPr>
              <w:jc w:val="right"/>
              <w:rPr>
                <w:rFonts w:ascii="Arial" w:hAnsi="Arial" w:cs="Arial"/>
                <w:sz w:val="20"/>
                <w:szCs w:val="20"/>
              </w:rPr>
            </w:pPr>
            <w:r w:rsidRPr="006C572A">
              <w:rPr>
                <w:rFonts w:ascii="Arial" w:eastAsia="Calibri" w:hAnsi="Arial" w:cs="Arial"/>
                <w:sz w:val="20"/>
                <w:szCs w:val="20"/>
                <w:lang w:eastAsia="en-US"/>
              </w:rPr>
              <w:t>12.575.000</w:t>
            </w:r>
          </w:p>
        </w:tc>
        <w:tc>
          <w:tcPr>
            <w:tcW w:w="1731" w:type="dxa"/>
            <w:tcBorders>
              <w:left w:val="nil"/>
              <w:right w:val="nil"/>
            </w:tcBorders>
            <w:shd w:val="clear" w:color="auto" w:fill="FFFFFF"/>
          </w:tcPr>
          <w:p w:rsidR="00AF7113" w:rsidRPr="006C572A" w:rsidRDefault="00AF7113" w:rsidP="1C145603">
            <w:pPr>
              <w:jc w:val="right"/>
              <w:rPr>
                <w:rFonts w:ascii="Arial" w:hAnsi="Arial" w:cs="Arial"/>
                <w:sz w:val="20"/>
                <w:szCs w:val="20"/>
              </w:rPr>
            </w:pPr>
          </w:p>
          <w:p w:rsidR="00AF7113" w:rsidRPr="006C572A" w:rsidRDefault="00AF7113" w:rsidP="003B2A61">
            <w:pPr>
              <w:jc w:val="right"/>
              <w:rPr>
                <w:rFonts w:ascii="Arial" w:hAnsi="Arial" w:cs="Arial"/>
                <w:sz w:val="20"/>
                <w:szCs w:val="20"/>
              </w:rPr>
            </w:pPr>
            <w:r w:rsidRPr="006C572A">
              <w:rPr>
                <w:rFonts w:ascii="Arial" w:hAnsi="Arial" w:cs="Arial"/>
                <w:sz w:val="20"/>
                <w:szCs w:val="20"/>
              </w:rPr>
              <w:t>0</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eastAsia="Calibri" w:hAnsi="Arial" w:cs="Arial"/>
                <w:sz w:val="20"/>
                <w:szCs w:val="20"/>
                <w:lang w:eastAsia="en-US"/>
              </w:rPr>
            </w:pPr>
            <w:r w:rsidRPr="006C572A">
              <w:rPr>
                <w:rFonts w:ascii="Arial" w:eastAsia="Calibri" w:hAnsi="Arial" w:cs="Arial"/>
                <w:sz w:val="20"/>
                <w:szCs w:val="20"/>
                <w:lang w:eastAsia="en-US"/>
              </w:rPr>
              <w:t>Tribunal Regional do Trabalho da 23a. Região - Mato Grosso</w:t>
            </w:r>
          </w:p>
        </w:tc>
        <w:tc>
          <w:tcPr>
            <w:tcW w:w="1718" w:type="dxa"/>
            <w:tcBorders>
              <w:left w:val="nil"/>
              <w:right w:val="single" w:sz="4" w:space="0" w:color="auto"/>
            </w:tcBorders>
            <w:shd w:val="clear" w:color="auto" w:fill="FFFFFF"/>
          </w:tcPr>
          <w:p w:rsidR="00AF7113" w:rsidRPr="006C572A" w:rsidRDefault="00AF7113" w:rsidP="003B2A61">
            <w:pPr>
              <w:jc w:val="right"/>
              <w:rPr>
                <w:rFonts w:ascii="Arial" w:hAnsi="Arial" w:cs="Arial"/>
                <w:sz w:val="20"/>
                <w:szCs w:val="20"/>
              </w:rPr>
            </w:pPr>
            <w:r w:rsidRPr="006C572A">
              <w:rPr>
                <w:rFonts w:ascii="Arial" w:eastAsia="Calibri" w:hAnsi="Arial" w:cs="Arial"/>
                <w:sz w:val="20"/>
                <w:szCs w:val="20"/>
                <w:lang w:eastAsia="en-US"/>
              </w:rPr>
              <w:t>96.008</w:t>
            </w:r>
          </w:p>
        </w:tc>
        <w:tc>
          <w:tcPr>
            <w:tcW w:w="1731" w:type="dxa"/>
            <w:tcBorders>
              <w:left w:val="nil"/>
              <w:right w:val="nil"/>
            </w:tcBorders>
            <w:shd w:val="clear" w:color="auto" w:fill="FFFFFF"/>
          </w:tcPr>
          <w:p w:rsidR="00AF7113" w:rsidRPr="006C572A" w:rsidRDefault="00AF7113" w:rsidP="003B2A61">
            <w:pPr>
              <w:jc w:val="right"/>
              <w:rPr>
                <w:rFonts w:ascii="Arial" w:hAnsi="Arial" w:cs="Arial"/>
                <w:sz w:val="20"/>
                <w:szCs w:val="20"/>
              </w:rPr>
            </w:pPr>
            <w:r w:rsidRPr="006C572A">
              <w:rPr>
                <w:rFonts w:ascii="Arial" w:eastAsia="Calibri" w:hAnsi="Arial" w:cs="Arial"/>
                <w:sz w:val="20"/>
                <w:szCs w:val="20"/>
                <w:lang w:eastAsia="en-US"/>
              </w:rPr>
              <w:t>96.008</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320CF07D">
            <w:pPr>
              <w:rPr>
                <w:rFonts w:ascii="Arial" w:eastAsia="Calibri" w:hAnsi="Arial" w:cs="Arial"/>
                <w:sz w:val="20"/>
                <w:szCs w:val="20"/>
                <w:lang w:eastAsia="en-US"/>
              </w:rPr>
            </w:pPr>
          </w:p>
        </w:tc>
        <w:tc>
          <w:tcPr>
            <w:tcW w:w="1718" w:type="dxa"/>
            <w:tcBorders>
              <w:left w:val="nil"/>
              <w:right w:val="single" w:sz="4" w:space="0" w:color="auto"/>
            </w:tcBorders>
            <w:shd w:val="clear" w:color="auto" w:fill="FFFFFF"/>
          </w:tcPr>
          <w:p w:rsidR="00AF7113" w:rsidRPr="006C572A" w:rsidRDefault="00AF7113" w:rsidP="003B2A61">
            <w:pPr>
              <w:jc w:val="right"/>
              <w:rPr>
                <w:rFonts w:ascii="Arial" w:eastAsia="Calibri" w:hAnsi="Arial" w:cs="Arial"/>
                <w:sz w:val="20"/>
                <w:szCs w:val="20"/>
                <w:lang w:eastAsia="en-US"/>
              </w:rPr>
            </w:pPr>
          </w:p>
        </w:tc>
        <w:tc>
          <w:tcPr>
            <w:tcW w:w="1731" w:type="dxa"/>
            <w:tcBorders>
              <w:left w:val="nil"/>
              <w:right w:val="nil"/>
            </w:tcBorders>
            <w:shd w:val="clear" w:color="auto" w:fill="FFFFFF"/>
          </w:tcPr>
          <w:p w:rsidR="00AF7113" w:rsidRPr="006C572A" w:rsidRDefault="00AF7113" w:rsidP="003B2A61">
            <w:pPr>
              <w:jc w:val="right"/>
              <w:rPr>
                <w:rFonts w:ascii="Arial" w:eastAsia="Calibri" w:hAnsi="Arial" w:cs="Arial"/>
                <w:sz w:val="20"/>
                <w:szCs w:val="20"/>
                <w:lang w:eastAsia="en-US"/>
              </w:rPr>
            </w:pP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00856193">
            <w:pPr>
              <w:rPr>
                <w:rFonts w:ascii="Arial" w:eastAsia="Calibri" w:hAnsi="Arial" w:cs="Arial"/>
                <w:b/>
                <w:sz w:val="20"/>
                <w:szCs w:val="20"/>
                <w:lang w:eastAsia="en-US"/>
              </w:rPr>
            </w:pPr>
            <w:r w:rsidRPr="006C572A">
              <w:rPr>
                <w:rFonts w:ascii="Arial" w:hAnsi="Arial" w:cs="Arial"/>
                <w:b/>
                <w:sz w:val="20"/>
                <w:szCs w:val="20"/>
              </w:rPr>
              <w:t>Conselho Nacional de Justiça</w:t>
            </w:r>
          </w:p>
        </w:tc>
        <w:tc>
          <w:tcPr>
            <w:tcW w:w="1718" w:type="dxa"/>
            <w:tcBorders>
              <w:left w:val="nil"/>
              <w:right w:val="single" w:sz="4" w:space="0" w:color="auto"/>
            </w:tcBorders>
            <w:shd w:val="clear" w:color="auto" w:fill="FFFFFF"/>
          </w:tcPr>
          <w:p w:rsidR="00AF7113" w:rsidRPr="006C572A" w:rsidRDefault="00AF7113" w:rsidP="00856193">
            <w:pPr>
              <w:jc w:val="right"/>
              <w:rPr>
                <w:rFonts w:ascii="Arial" w:eastAsia="Calibri" w:hAnsi="Arial" w:cs="Arial"/>
                <w:b/>
                <w:sz w:val="20"/>
                <w:szCs w:val="20"/>
                <w:lang w:eastAsia="en-US"/>
              </w:rPr>
            </w:pPr>
            <w:r w:rsidRPr="006C572A">
              <w:rPr>
                <w:rFonts w:ascii="Arial" w:hAnsi="Arial" w:cs="Arial"/>
                <w:b/>
                <w:sz w:val="20"/>
                <w:szCs w:val="20"/>
              </w:rPr>
              <w:t>224.400.000</w:t>
            </w:r>
          </w:p>
        </w:tc>
        <w:tc>
          <w:tcPr>
            <w:tcW w:w="1731" w:type="dxa"/>
            <w:tcBorders>
              <w:left w:val="nil"/>
              <w:right w:val="nil"/>
            </w:tcBorders>
            <w:shd w:val="clear" w:color="auto" w:fill="FFFFFF"/>
          </w:tcPr>
          <w:p w:rsidR="00AF7113" w:rsidRPr="006C572A" w:rsidRDefault="00AF7113" w:rsidP="00856193">
            <w:pPr>
              <w:jc w:val="right"/>
              <w:rPr>
                <w:rFonts w:ascii="Arial" w:eastAsia="Calibri" w:hAnsi="Arial" w:cs="Arial"/>
                <w:b/>
                <w:sz w:val="20"/>
                <w:szCs w:val="20"/>
                <w:lang w:eastAsia="en-US"/>
              </w:rPr>
            </w:pPr>
            <w:r w:rsidRPr="006C572A">
              <w:rPr>
                <w:rFonts w:ascii="Arial" w:hAnsi="Arial" w:cs="Arial"/>
                <w:b/>
                <w:sz w:val="20"/>
                <w:szCs w:val="20"/>
              </w:rPr>
              <w:t>0</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00856193">
            <w:pPr>
              <w:rPr>
                <w:rFonts w:ascii="Arial" w:eastAsia="Calibri" w:hAnsi="Arial" w:cs="Arial"/>
                <w:sz w:val="20"/>
                <w:szCs w:val="20"/>
                <w:lang w:eastAsia="en-US"/>
              </w:rPr>
            </w:pPr>
            <w:r w:rsidRPr="006C572A">
              <w:rPr>
                <w:rFonts w:ascii="Arial" w:hAnsi="Arial" w:cs="Arial"/>
                <w:sz w:val="20"/>
                <w:szCs w:val="20"/>
              </w:rPr>
              <w:t>Conselho Nacional de Justiça</w:t>
            </w:r>
          </w:p>
        </w:tc>
        <w:tc>
          <w:tcPr>
            <w:tcW w:w="1718" w:type="dxa"/>
            <w:tcBorders>
              <w:left w:val="nil"/>
              <w:right w:val="single" w:sz="4" w:space="0" w:color="auto"/>
            </w:tcBorders>
            <w:shd w:val="clear" w:color="auto" w:fill="FFFFFF"/>
          </w:tcPr>
          <w:p w:rsidR="00AF7113" w:rsidRPr="006C572A" w:rsidRDefault="00AF7113" w:rsidP="00856193">
            <w:pPr>
              <w:jc w:val="right"/>
              <w:rPr>
                <w:rFonts w:ascii="Arial" w:eastAsia="Calibri" w:hAnsi="Arial" w:cs="Arial"/>
                <w:sz w:val="20"/>
                <w:szCs w:val="20"/>
                <w:lang w:eastAsia="en-US"/>
              </w:rPr>
            </w:pPr>
            <w:r w:rsidRPr="006C572A">
              <w:rPr>
                <w:rFonts w:ascii="Arial" w:hAnsi="Arial" w:cs="Arial"/>
                <w:sz w:val="20"/>
                <w:szCs w:val="20"/>
              </w:rPr>
              <w:t>224.400.000</w:t>
            </w:r>
          </w:p>
        </w:tc>
        <w:tc>
          <w:tcPr>
            <w:tcW w:w="1731" w:type="dxa"/>
            <w:tcBorders>
              <w:left w:val="nil"/>
              <w:right w:val="nil"/>
            </w:tcBorders>
            <w:shd w:val="clear" w:color="auto" w:fill="FFFFFF"/>
          </w:tcPr>
          <w:p w:rsidR="00AF7113" w:rsidRPr="006C572A" w:rsidRDefault="00AF7113" w:rsidP="00856193">
            <w:pPr>
              <w:jc w:val="right"/>
              <w:rPr>
                <w:rFonts w:ascii="Arial" w:eastAsia="Calibri" w:hAnsi="Arial" w:cs="Arial"/>
                <w:sz w:val="20"/>
                <w:szCs w:val="20"/>
                <w:lang w:eastAsia="en-US"/>
              </w:rPr>
            </w:pPr>
            <w:r w:rsidRPr="006C572A">
              <w:rPr>
                <w:rFonts w:ascii="Arial" w:hAnsi="Arial" w:cs="Arial"/>
                <w:sz w:val="20"/>
                <w:szCs w:val="20"/>
              </w:rPr>
              <w:t>0</w:t>
            </w:r>
          </w:p>
        </w:tc>
      </w:tr>
      <w:tr w:rsidR="00AF7113" w:rsidRPr="006C572A" w:rsidTr="00616D3F">
        <w:trPr>
          <w:trHeight w:val="284"/>
        </w:trPr>
        <w:tc>
          <w:tcPr>
            <w:tcW w:w="6096" w:type="dxa"/>
            <w:tcBorders>
              <w:left w:val="nil"/>
              <w:right w:val="single" w:sz="4" w:space="0" w:color="auto"/>
            </w:tcBorders>
            <w:shd w:val="clear" w:color="auto" w:fill="FFFFFF"/>
            <w:tcMar>
              <w:left w:w="425" w:type="dxa"/>
            </w:tcMar>
          </w:tcPr>
          <w:p w:rsidR="00AF7113" w:rsidRPr="006C572A" w:rsidRDefault="00AF7113" w:rsidP="00856193">
            <w:pPr>
              <w:rPr>
                <w:rFonts w:ascii="Arial" w:hAnsi="Arial" w:cs="Arial"/>
                <w:bCs/>
                <w:color w:val="000000"/>
                <w:sz w:val="20"/>
                <w:szCs w:val="20"/>
              </w:rPr>
            </w:pPr>
          </w:p>
        </w:tc>
        <w:tc>
          <w:tcPr>
            <w:tcW w:w="1718" w:type="dxa"/>
            <w:tcBorders>
              <w:left w:val="nil"/>
              <w:right w:val="single" w:sz="4" w:space="0" w:color="auto"/>
            </w:tcBorders>
            <w:shd w:val="clear" w:color="auto" w:fill="FFFFFF"/>
          </w:tcPr>
          <w:p w:rsidR="00AF7113" w:rsidRPr="006C572A" w:rsidRDefault="00AF7113" w:rsidP="00856193">
            <w:pPr>
              <w:jc w:val="right"/>
              <w:rPr>
                <w:rFonts w:ascii="Arial" w:hAnsi="Arial" w:cs="Arial"/>
                <w:bCs/>
                <w:color w:val="000000"/>
                <w:sz w:val="20"/>
                <w:szCs w:val="20"/>
              </w:rPr>
            </w:pPr>
          </w:p>
        </w:tc>
        <w:tc>
          <w:tcPr>
            <w:tcW w:w="1731" w:type="dxa"/>
            <w:tcBorders>
              <w:left w:val="nil"/>
              <w:right w:val="nil"/>
            </w:tcBorders>
            <w:shd w:val="clear" w:color="auto" w:fill="FFFFFF"/>
          </w:tcPr>
          <w:p w:rsidR="00AF7113" w:rsidRPr="006C572A" w:rsidRDefault="00AF7113" w:rsidP="00856193">
            <w:pPr>
              <w:jc w:val="right"/>
              <w:rPr>
                <w:rFonts w:ascii="Arial" w:hAnsi="Arial" w:cs="Arial"/>
                <w:bCs/>
                <w:color w:val="000000"/>
                <w:sz w:val="20"/>
                <w:szCs w:val="20"/>
              </w:rPr>
            </w:pPr>
          </w:p>
        </w:tc>
      </w:tr>
      <w:tr w:rsidR="00AF7113" w:rsidRPr="006C572A" w:rsidTr="00616D3F">
        <w:trPr>
          <w:trHeight w:val="284"/>
        </w:trPr>
        <w:tc>
          <w:tcPr>
            <w:tcW w:w="6096" w:type="dxa"/>
            <w:tcBorders>
              <w:top w:val="single" w:sz="4" w:space="0" w:color="auto"/>
              <w:left w:val="nil"/>
              <w:bottom w:val="single" w:sz="4" w:space="0" w:color="auto"/>
              <w:right w:val="single" w:sz="4" w:space="0" w:color="auto"/>
            </w:tcBorders>
            <w:shd w:val="clear" w:color="auto" w:fill="FFFFFF"/>
            <w:tcMar>
              <w:left w:w="425" w:type="dxa"/>
            </w:tcMar>
            <w:vAlign w:val="center"/>
          </w:tcPr>
          <w:p w:rsidR="00AF7113" w:rsidRPr="006C572A" w:rsidRDefault="00AF7113" w:rsidP="00856193">
            <w:pPr>
              <w:rPr>
                <w:rFonts w:ascii="Arial" w:hAnsi="Arial" w:cs="Arial"/>
                <w:b/>
                <w:bCs/>
                <w:color w:val="000000"/>
                <w:sz w:val="20"/>
                <w:szCs w:val="20"/>
              </w:rPr>
            </w:pPr>
            <w:r w:rsidRPr="006C572A">
              <w:rPr>
                <w:rFonts w:ascii="Arial" w:hAnsi="Arial" w:cs="Arial"/>
                <w:b/>
                <w:color w:val="000000"/>
                <w:sz w:val="20"/>
                <w:szCs w:val="20"/>
              </w:rPr>
              <w:t>Total</w:t>
            </w:r>
          </w:p>
        </w:tc>
        <w:tc>
          <w:tcPr>
            <w:tcW w:w="1718" w:type="dxa"/>
            <w:tcBorders>
              <w:top w:val="single" w:sz="4" w:space="0" w:color="auto"/>
              <w:left w:val="nil"/>
              <w:bottom w:val="single" w:sz="4" w:space="0" w:color="auto"/>
              <w:right w:val="single" w:sz="4" w:space="0" w:color="auto"/>
            </w:tcBorders>
            <w:shd w:val="clear" w:color="auto" w:fill="FFFFFF"/>
            <w:vAlign w:val="center"/>
          </w:tcPr>
          <w:p w:rsidR="00AF7113" w:rsidRPr="006C572A" w:rsidRDefault="00AF7113" w:rsidP="00856193">
            <w:pPr>
              <w:jc w:val="right"/>
              <w:rPr>
                <w:rFonts w:ascii="Arial" w:hAnsi="Arial" w:cs="Arial"/>
                <w:b/>
                <w:bCs/>
                <w:sz w:val="20"/>
                <w:szCs w:val="20"/>
              </w:rPr>
            </w:pPr>
            <w:r w:rsidRPr="006C572A">
              <w:rPr>
                <w:rFonts w:ascii="Arial" w:hAnsi="Arial" w:cs="Arial"/>
                <w:b/>
                <w:sz w:val="20"/>
                <w:szCs w:val="20"/>
              </w:rPr>
              <w:t>273.689.008</w:t>
            </w:r>
          </w:p>
        </w:tc>
        <w:tc>
          <w:tcPr>
            <w:tcW w:w="1731" w:type="dxa"/>
            <w:tcBorders>
              <w:top w:val="single" w:sz="4" w:space="0" w:color="auto"/>
              <w:left w:val="nil"/>
              <w:bottom w:val="single" w:sz="4" w:space="0" w:color="auto"/>
              <w:right w:val="nil"/>
            </w:tcBorders>
            <w:shd w:val="clear" w:color="auto" w:fill="FFFFFF"/>
            <w:vAlign w:val="center"/>
          </w:tcPr>
          <w:p w:rsidR="00AF7113" w:rsidRPr="006C572A" w:rsidRDefault="00AF7113" w:rsidP="00856193">
            <w:pPr>
              <w:jc w:val="right"/>
              <w:rPr>
                <w:rFonts w:ascii="Arial" w:hAnsi="Arial" w:cs="Arial"/>
                <w:b/>
                <w:bCs/>
                <w:sz w:val="20"/>
                <w:szCs w:val="20"/>
              </w:rPr>
            </w:pPr>
            <w:r w:rsidRPr="006C572A">
              <w:rPr>
                <w:rFonts w:ascii="Arial" w:eastAsia="Calibri" w:hAnsi="Arial" w:cs="Arial"/>
                <w:b/>
                <w:bCs/>
                <w:sz w:val="20"/>
                <w:szCs w:val="20"/>
                <w:lang w:eastAsia="en-US"/>
              </w:rPr>
              <w:t>273.689.008</w:t>
            </w:r>
          </w:p>
        </w:tc>
      </w:tr>
    </w:tbl>
    <w:p w:rsidR="00AF7113" w:rsidRPr="006C572A" w:rsidRDefault="00AF7113" w:rsidP="00C12C64">
      <w:pPr>
        <w:tabs>
          <w:tab w:val="left" w:pos="426"/>
        </w:tabs>
        <w:rPr>
          <w:rFonts w:ascii="Arial" w:hAnsi="Arial" w:cs="Arial"/>
          <w:sz w:val="20"/>
          <w:szCs w:val="20"/>
        </w:rPr>
      </w:pPr>
    </w:p>
    <w:bookmarkEnd w:id="0"/>
    <w:p w:rsidR="00793581" w:rsidRPr="006C572A" w:rsidRDefault="00793581">
      <w:pPr>
        <w:pStyle w:val="Standard"/>
        <w:ind w:left="567" w:right="284"/>
        <w:rPr>
          <w:rFonts w:ascii="Arial" w:hAnsi="Arial" w:cs="Arial"/>
          <w:b/>
          <w:i/>
          <w:sz w:val="20"/>
          <w:szCs w:val="20"/>
        </w:rPr>
      </w:pPr>
    </w:p>
    <w:sectPr w:rsidR="00793581" w:rsidRPr="006C572A" w:rsidSect="00FB70E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99" w:rsidRDefault="00AF7113">
      <w:r>
        <w:separator/>
      </w:r>
    </w:p>
  </w:endnote>
  <w:endnote w:type="continuationSeparator" w:id="0">
    <w:p w:rsidR="000C5B99" w:rsidRDefault="00AF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font>
  <w:font w:name="Thorndale">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99" w:rsidRDefault="00AF7113">
      <w:r>
        <w:rPr>
          <w:color w:val="000000"/>
        </w:rPr>
        <w:separator/>
      </w:r>
    </w:p>
  </w:footnote>
  <w:footnote w:type="continuationSeparator" w:id="0">
    <w:p w:rsidR="000C5B99" w:rsidRDefault="00AF7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81"/>
    <w:rsid w:val="000C5B99"/>
    <w:rsid w:val="006C572A"/>
    <w:rsid w:val="00793581"/>
    <w:rsid w:val="00AF71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C86BE-D46F-419D-AEAB-4829B36B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4788</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Edvaldo Luiz da Silva</cp:lastModifiedBy>
  <cp:revision>2</cp:revision>
  <dcterms:created xsi:type="dcterms:W3CDTF">2024-10-11T19:54:00Z</dcterms:created>
  <dcterms:modified xsi:type="dcterms:W3CDTF">2024-10-11T19:54:00Z</dcterms:modified>
</cp:coreProperties>
</file>