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B6" w:rsidRDefault="00E10CB6">
      <w:pPr>
        <w:pStyle w:val="Textbody"/>
      </w:pPr>
      <w:bookmarkStart w:id="0" w:name="_GoBack"/>
      <w:bookmarkEnd w:id="0"/>
    </w:p>
    <w:p w:rsidR="00E10CB6" w:rsidRDefault="000C6557">
      <w:pPr>
        <w:pStyle w:val="Textbody"/>
        <w:spacing w:before="567" w:after="0"/>
        <w:ind w:left="680"/>
      </w:pPr>
      <w:r>
        <w:t>EM n</w:t>
      </w:r>
      <w:r>
        <w:rPr>
          <w:strike/>
        </w:rPr>
        <w:t>º</w:t>
      </w:r>
      <w:r>
        <w:t xml:space="preserve"> 00022/2024 MPO</w:t>
      </w:r>
    </w:p>
    <w:p w:rsidR="00E10CB6" w:rsidRDefault="000C6557">
      <w:pPr>
        <w:pStyle w:val="Textbody"/>
      </w:pPr>
      <w:r>
        <w:t> </w:t>
      </w:r>
    </w:p>
    <w:p w:rsidR="00E10CB6" w:rsidRDefault="000C6557">
      <w:pPr>
        <w:pStyle w:val="PreformattedText"/>
        <w:spacing w:after="1701"/>
        <w:jc w:val="right"/>
        <w:rPr>
          <w:rFonts w:ascii="Times New Roman" w:hAnsi="Times New Roman"/>
          <w:sz w:val="24"/>
        </w:rPr>
      </w:pPr>
      <w:r>
        <w:rPr>
          <w:rFonts w:ascii="Times New Roman" w:hAnsi="Times New Roman"/>
          <w:sz w:val="24"/>
        </w:rPr>
        <w:t>Brasília, 26 de Abril de 2024</w:t>
      </w:r>
    </w:p>
    <w:p w:rsidR="00E10CB6" w:rsidRDefault="000C6557">
      <w:pPr>
        <w:pStyle w:val="Textbody"/>
        <w:spacing w:before="113" w:after="567"/>
        <w:ind w:firstLine="1134"/>
      </w:pPr>
      <w:r>
        <w:t>Senhor Presidente da República,</w:t>
      </w:r>
    </w:p>
    <w:p w:rsidR="00E10CB6" w:rsidRDefault="000C6557">
      <w:pPr>
        <w:pStyle w:val="Textbody"/>
        <w:spacing w:after="200"/>
        <w:jc w:val="both"/>
      </w:pPr>
      <w:r>
        <w:t>1.                Proponho a abertura de crédito especial ao Orçamento Fiscal da União (Lei nº 14.822, de 22 de janeiro de 2024), no valor de R$ 1.895.000,00 (um milhão, oitocentos e noventa e cinco mil reais), em favor da Defensoria Pública da União e do Ministério Público da União, conforme Quadro anexo a esta Exposição de Motivos.</w:t>
      </w:r>
    </w:p>
    <w:p w:rsidR="00E10CB6" w:rsidRDefault="000C6557">
      <w:pPr>
        <w:pStyle w:val="Textbody"/>
        <w:spacing w:after="200"/>
        <w:jc w:val="both"/>
      </w:pPr>
      <w:r>
        <w:t>2.                O crédito em pauta visa incluir novas categorias de programação no orçamento vigente dos mencionados órgãos, com o objetivo de:</w:t>
      </w:r>
    </w:p>
    <w:p w:rsidR="00E10CB6" w:rsidRDefault="000C6557">
      <w:pPr>
        <w:pStyle w:val="Textbody"/>
        <w:spacing w:after="200"/>
        <w:ind w:firstLine="1134"/>
        <w:jc w:val="both"/>
      </w:pPr>
      <w:r>
        <w:t>                   a) no Ministério Público da União, o pagamento de espécies remuneratórias aos servidores civis e empregados em serviço da União no exterior, por meio da ação 21EP - “Retribuição no Exterior”, no âmbito do Ministério Público Federal, Ministério Público Militar, Ministério Público do Distrito Federal e dos Territórios, Ministério Público do Trabalho, e da Escola Superior do Ministério Público da União; e</w:t>
      </w:r>
    </w:p>
    <w:p w:rsidR="00E10CB6" w:rsidRDefault="000C6557">
      <w:pPr>
        <w:pStyle w:val="Textbody"/>
        <w:spacing w:after="200"/>
        <w:ind w:firstLine="1134"/>
        <w:jc w:val="both"/>
      </w:pPr>
      <w:r>
        <w:t>                   b) na Defensoria Pública da União - DPU, o atendimento de despesas com o pagamento de contribuições regulares (como taxas, cotas, anuidades) a associações e entidades, nacionais e internacionais, às quais a DPU integra na qualidade de membro associado, por meio das ações 00PW - “Contribuições Regulares a Entidades ou Organismos Nacionais sem Exigência de Programação Específica”; e 00UU - “Contribuições Regulares a Organismos Internacionais de Direito Privado sem Exigência de Programação Específica”. É importante destacar que o PARECER Nº 292 - ACJ DPGU, de 12 de abril de 2024, da Defensoria Pública-Geral da União, atesta a capacidade da DPU para integrar organismos internacionais; indica os organismos/entidades de direito internacional privado para os quais o órgão contribui ou deseja contribuir de forma regular; além de manifestar o interesse (conveniência) do órgão em participar desses organismos/entidades.</w:t>
      </w:r>
    </w:p>
    <w:p w:rsidR="00E10CB6" w:rsidRDefault="000C6557">
      <w:pPr>
        <w:pStyle w:val="Textbody"/>
        <w:spacing w:after="200"/>
        <w:jc w:val="both"/>
      </w:pPr>
      <w: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E10CB6" w:rsidRDefault="000C6557">
      <w:pPr>
        <w:pStyle w:val="Textbody"/>
        <w:spacing w:after="200"/>
        <w:jc w:val="both"/>
      </w:pPr>
      <w:r>
        <w:t>4.                No que se refere à obtenção da meta de resultado primário fixada para o corrente exercício, bem como aos limites individualizados para as despesas primárias, conforme o art. 3º da Lei Complementar nº 200, de 30 de agosto de 2023, vale informar, nos termos do art. 54, § 4º, da Lei nº 14.791, de 29 de dezembro de 2023, Lei de Diretrizes Orçamentárias para 2024, LDO-2024, que o crédito em questão está de acordo com o teor dos citados dispositivos.</w:t>
      </w:r>
    </w:p>
    <w:p w:rsidR="00E10CB6" w:rsidRDefault="000C6557">
      <w:pPr>
        <w:pStyle w:val="Textbody"/>
        <w:spacing w:after="200"/>
        <w:jc w:val="both"/>
      </w:pPr>
      <w:r>
        <w:t>5.                Cabe mencionar, em relação ao disposto no inciso III do caput do art. 167 da Constituição Federal, "Regra de Ouro", que a alteração proposta não afeta o seu cumprimento.</w:t>
      </w:r>
    </w:p>
    <w:p w:rsidR="00E10CB6" w:rsidRDefault="000C6557">
      <w:pPr>
        <w:pStyle w:val="Textbody"/>
        <w:spacing w:after="200"/>
        <w:jc w:val="both"/>
      </w:pPr>
      <w:r>
        <w:t xml:space="preserve">6.                Em atendimento ao § 18 do art. 54 da LDO-2024, vale destacar que não há valores </w:t>
      </w:r>
      <w:r>
        <w:lastRenderedPageBreak/>
        <w:t>cancelados neste crédito que ultrapassem vinte por cento do valor inicialmente estabelecido na Lei Orçamentária de 2024 para as referidas categorias.</w:t>
      </w:r>
    </w:p>
    <w:p w:rsidR="00E10CB6" w:rsidRDefault="000C6557">
      <w:pPr>
        <w:pStyle w:val="Textbody"/>
        <w:spacing w:after="200"/>
        <w:jc w:val="both"/>
      </w:pPr>
      <w:r>
        <w:t>7.                Acrescenta-se que os ajustes do Plano Plurianual para o período de 2024 a 2027, de que trata a Lei nº 14.802, de 10 de janeiro de 2024, porventura necessários em decorrência das alterações promovidas, deverão ser realizados de acordo com o inciso I do art. 19 da referida Lei.</w:t>
      </w:r>
    </w:p>
    <w:p w:rsidR="00E10CB6" w:rsidRDefault="000C6557">
      <w:pPr>
        <w:pStyle w:val="Textbody"/>
        <w:spacing w:after="200"/>
        <w:jc w:val="both"/>
      </w:pPr>
      <w:r>
        <w:t>8.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pois os remanejamentos foram decididos com base em projeções de suas possibilidades de dispêndio até o final do exercício atual.</w:t>
      </w:r>
    </w:p>
    <w:p w:rsidR="00E10CB6" w:rsidRDefault="000C6557">
      <w:pPr>
        <w:pStyle w:val="Textbody"/>
        <w:spacing w:after="200"/>
        <w:jc w:val="both"/>
      </w:pPr>
      <w:r>
        <w:t>9.                Diante do exposto, submeto à sua consideração o anexo Projeto de Lei, que visa efetivar a abertura de crédito especial.</w:t>
      </w:r>
    </w:p>
    <w:p w:rsidR="00E10CB6" w:rsidRDefault="000C6557">
      <w:pPr>
        <w:pStyle w:val="Textbody"/>
        <w:spacing w:after="1417"/>
        <w:ind w:firstLine="1134"/>
      </w:pPr>
      <w:r>
        <w:t>Respeitosamente,</w:t>
      </w:r>
    </w:p>
    <w:p w:rsidR="00E10CB6" w:rsidRDefault="00E10CB6">
      <w:pPr>
        <w:pStyle w:val="Textbody"/>
        <w:spacing w:after="0"/>
        <w:jc w:val="center"/>
      </w:pPr>
    </w:p>
    <w:p w:rsidR="00E10CB6" w:rsidRDefault="000C6557">
      <w:pPr>
        <w:pStyle w:val="Textbody"/>
      </w:pPr>
      <w:r>
        <w:t> </w:t>
      </w:r>
    </w:p>
    <w:p w:rsidR="00E10CB6" w:rsidRDefault="000C6557">
      <w:pPr>
        <w:pStyle w:val="Textbody"/>
      </w:pPr>
      <w:r>
        <w:t> </w:t>
      </w: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E10CB6" w:rsidRDefault="00E10CB6">
      <w:pPr>
        <w:pStyle w:val="Standard"/>
        <w:ind w:left="567" w:right="284"/>
        <w:rPr>
          <w:b/>
        </w:rPr>
      </w:pPr>
    </w:p>
    <w:p w:rsidR="000C6557" w:rsidRDefault="000C6557">
      <w:pPr>
        <w:pStyle w:val="Standard"/>
        <w:ind w:left="567" w:right="284"/>
        <w:rPr>
          <w:b/>
          <w:i/>
          <w:sz w:val="22"/>
        </w:rPr>
        <w:sectPr w:rsidR="000C6557">
          <w:pgSz w:w="11906" w:h="16838"/>
          <w:pgMar w:top="1134" w:right="1134" w:bottom="1134" w:left="1134" w:header="720" w:footer="720" w:gutter="0"/>
          <w:cols w:space="720"/>
        </w:sectPr>
      </w:pPr>
      <w:r>
        <w:rPr>
          <w:b/>
          <w:i/>
          <w:sz w:val="22"/>
        </w:rPr>
        <w:t>Assinado eletronicamente por: Simone Nassar Tebet</w:t>
      </w:r>
    </w:p>
    <w:p w:rsidR="000C6557" w:rsidRPr="00C747A2" w:rsidRDefault="000C6557" w:rsidP="000C6557">
      <w:pPr>
        <w:ind w:right="-1"/>
        <w:jc w:val="center"/>
        <w:rPr>
          <w:rFonts w:ascii="Calibri" w:hAnsi="Calibri"/>
        </w:rPr>
      </w:pPr>
      <w:r w:rsidRPr="00C747A2">
        <w:rPr>
          <w:rFonts w:ascii="Calibri" w:hAnsi="Calibri"/>
          <w:spacing w:val="-3"/>
        </w:rPr>
        <w:t>QUADRO ANEXO À EXPOSIÇÃO DE MOTIVOS DO MINISTÉRIO DO PLANEJAMENTO E ORÇAMENTO N</w:t>
      </w:r>
      <w:r w:rsidRPr="00C747A2">
        <w:rPr>
          <w:rFonts w:ascii="Calibri" w:hAnsi="Calibri"/>
          <w:u w:val="single"/>
          <w:vertAlign w:val="superscript"/>
        </w:rPr>
        <w:t>o</w:t>
      </w:r>
      <w:r w:rsidRPr="00C747A2">
        <w:rPr>
          <w:rFonts w:ascii="Calibri" w:hAnsi="Calibri"/>
          <w:spacing w:val="-3"/>
        </w:rPr>
        <w:t xml:space="preserve"> </w:t>
      </w:r>
      <w:r>
        <w:rPr>
          <w:rFonts w:ascii="Calibri" w:hAnsi="Calibri"/>
          <w:spacing w:val="-3"/>
        </w:rPr>
        <w:t>22</w:t>
      </w:r>
      <w:r w:rsidRPr="00C747A2">
        <w:rPr>
          <w:rFonts w:ascii="Calibri" w:hAnsi="Calibri"/>
          <w:spacing w:val="-3"/>
        </w:rPr>
        <w:t xml:space="preserve">, DE </w:t>
      </w:r>
      <w:r>
        <w:rPr>
          <w:rFonts w:ascii="Calibri" w:hAnsi="Calibri"/>
          <w:spacing w:val="-3"/>
        </w:rPr>
        <w:t>26</w:t>
      </w:r>
      <w:r w:rsidRPr="00C747A2">
        <w:rPr>
          <w:rFonts w:ascii="Calibri" w:hAnsi="Calibri"/>
          <w:spacing w:val="-3"/>
        </w:rPr>
        <w:t>/</w:t>
      </w:r>
      <w:r>
        <w:rPr>
          <w:rFonts w:ascii="Calibri" w:hAnsi="Calibri"/>
          <w:spacing w:val="-3"/>
        </w:rPr>
        <w:t>04</w:t>
      </w:r>
      <w:r w:rsidRPr="00C747A2">
        <w:rPr>
          <w:rFonts w:ascii="Calibri" w:hAnsi="Calibri"/>
          <w:spacing w:val="-3"/>
        </w:rPr>
        <w:t>/202</w:t>
      </w:r>
      <w:r w:rsidRPr="00C747A2">
        <w:rPr>
          <w:rFonts w:ascii="Calibri" w:hAnsi="Calibri"/>
        </w:rPr>
        <w:t>4</w:t>
      </w:r>
    </w:p>
    <w:p w:rsidR="000C6557" w:rsidRPr="00C747A2" w:rsidRDefault="000C6557" w:rsidP="000C6557">
      <w:pPr>
        <w:jc w:val="right"/>
        <w:rPr>
          <w:rFonts w:ascii="Calibri" w:hAnsi="Calibri" w:cs="Calibri"/>
        </w:rPr>
      </w:pPr>
    </w:p>
    <w:p w:rsidR="000C6557" w:rsidRPr="00C747A2" w:rsidRDefault="000C6557" w:rsidP="000C6557">
      <w:pPr>
        <w:jc w:val="right"/>
        <w:rPr>
          <w:rFonts w:ascii="Calibri" w:hAnsi="Calibri" w:cs="Calibri"/>
        </w:rPr>
      </w:pPr>
    </w:p>
    <w:p w:rsidR="000C6557" w:rsidRPr="00C747A2" w:rsidRDefault="000C6557" w:rsidP="000C6557">
      <w:pPr>
        <w:jc w:val="right"/>
        <w:rPr>
          <w:rFonts w:ascii="Calibri" w:hAnsi="Calibri" w:cs="Calibri"/>
        </w:rPr>
      </w:pPr>
      <w:r w:rsidRPr="00C747A2">
        <w:rPr>
          <w:rFonts w:ascii="Calibri" w:hAnsi="Calibri" w:cs="Calibri"/>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0C6557" w:rsidRPr="000368EA" w:rsidTr="00E37619">
        <w:trPr>
          <w:trHeight w:val="630"/>
        </w:trPr>
        <w:tc>
          <w:tcPr>
            <w:tcW w:w="6096" w:type="dxa"/>
            <w:tcBorders>
              <w:top w:val="single" w:sz="4" w:space="0" w:color="auto"/>
              <w:left w:val="nil"/>
              <w:bottom w:val="single" w:sz="4" w:space="0" w:color="auto"/>
              <w:right w:val="single" w:sz="4" w:space="0" w:color="auto"/>
            </w:tcBorders>
            <w:shd w:val="clear" w:color="auto" w:fill="FFFFFF"/>
            <w:vAlign w:val="center"/>
            <w:hideMark/>
          </w:tcPr>
          <w:p w:rsidR="000C6557" w:rsidRPr="00C747A2" w:rsidRDefault="000C6557" w:rsidP="00E37619">
            <w:pPr>
              <w:jc w:val="center"/>
              <w:rPr>
                <w:rFonts w:ascii="Calibri" w:hAnsi="Calibri" w:cs="Calibri"/>
                <w:b/>
                <w:bCs/>
                <w:color w:val="000000"/>
              </w:rPr>
            </w:pPr>
            <w:r w:rsidRPr="00C747A2">
              <w:rPr>
                <w:rFonts w:ascii="Calibri" w:hAnsi="Calibri" w:cs="Calibri"/>
                <w:b/>
                <w:bCs/>
                <w:color w:val="000000"/>
              </w:rPr>
              <w:t>Discriminação</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0C6557" w:rsidRPr="00C747A2" w:rsidRDefault="000C6557" w:rsidP="00E37619">
            <w:pPr>
              <w:jc w:val="center"/>
              <w:rPr>
                <w:rFonts w:ascii="Calibri" w:hAnsi="Calibri" w:cs="Calibri"/>
                <w:b/>
                <w:bCs/>
                <w:color w:val="000000"/>
              </w:rPr>
            </w:pPr>
            <w:r w:rsidRPr="00C747A2">
              <w:rPr>
                <w:rFonts w:ascii="Calibri" w:hAnsi="Calibri" w:cs="Calibri"/>
                <w:b/>
                <w:bCs/>
                <w:color w:val="000000"/>
              </w:rPr>
              <w:t>Aplicação</w:t>
            </w:r>
          </w:p>
        </w:tc>
        <w:tc>
          <w:tcPr>
            <w:tcW w:w="1731" w:type="dxa"/>
            <w:tcBorders>
              <w:top w:val="single" w:sz="4" w:space="0" w:color="auto"/>
              <w:left w:val="nil"/>
              <w:bottom w:val="single" w:sz="4" w:space="0" w:color="auto"/>
              <w:right w:val="nil"/>
            </w:tcBorders>
            <w:shd w:val="clear" w:color="auto" w:fill="FFFFFF"/>
            <w:vAlign w:val="center"/>
            <w:hideMark/>
          </w:tcPr>
          <w:p w:rsidR="000C6557" w:rsidRPr="00C747A2" w:rsidRDefault="000C6557" w:rsidP="00E37619">
            <w:pPr>
              <w:jc w:val="center"/>
              <w:rPr>
                <w:rFonts w:ascii="Calibri" w:hAnsi="Calibri" w:cs="Calibri"/>
                <w:b/>
                <w:bCs/>
                <w:color w:val="000000"/>
              </w:rPr>
            </w:pPr>
            <w:r w:rsidRPr="00C747A2">
              <w:rPr>
                <w:rFonts w:ascii="Calibri" w:hAnsi="Calibri" w:cs="Calibri"/>
                <w:b/>
                <w:bCs/>
                <w:color w:val="000000"/>
              </w:rPr>
              <w:t>Origem dos Recursos</w:t>
            </w:r>
          </w:p>
        </w:tc>
      </w:tr>
      <w:tr w:rsidR="000C6557" w:rsidRPr="00AF27DA"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b/>
                <w:bCs/>
                <w:color w:val="000000"/>
              </w:rPr>
            </w:pPr>
            <w:r w:rsidRPr="00C747A2">
              <w:rPr>
                <w:rFonts w:ascii="Calibri" w:hAnsi="Calibri"/>
                <w:b/>
                <w:bCs/>
                <w:color w:val="000000"/>
              </w:rPr>
              <w:t>Defensoria Pública da União</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olor w:val="000000"/>
              </w:rPr>
            </w:pPr>
            <w:r w:rsidRPr="00C747A2">
              <w:rPr>
                <w:rFonts w:ascii="Calibri" w:hAnsi="Calibri"/>
                <w:b/>
                <w:bCs/>
                <w:color w:val="000000"/>
              </w:rPr>
              <w:t>35.000</w:t>
            </w:r>
          </w:p>
        </w:tc>
        <w:tc>
          <w:tcPr>
            <w:tcW w:w="1731" w:type="dxa"/>
            <w:tcBorders>
              <w:left w:val="nil"/>
              <w:right w:val="nil"/>
            </w:tcBorders>
            <w:shd w:val="clear" w:color="auto" w:fill="FFFFFF"/>
          </w:tcPr>
          <w:p w:rsidR="000C6557" w:rsidRPr="00C747A2" w:rsidRDefault="000C6557" w:rsidP="00E37619">
            <w:pPr>
              <w:jc w:val="right"/>
              <w:rPr>
                <w:rFonts w:ascii="Calibri" w:hAnsi="Calibri"/>
                <w:color w:val="000000"/>
              </w:rPr>
            </w:pPr>
            <w:r w:rsidRPr="00C747A2">
              <w:rPr>
                <w:rFonts w:ascii="Calibri" w:hAnsi="Calibri"/>
                <w:b/>
                <w:bCs/>
                <w:color w:val="000000"/>
              </w:rPr>
              <w:t>35.000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eastAsia="Calibri" w:hAnsi="Calibri" w:cs="Calibri"/>
                <w:lang w:eastAsia="en-US"/>
              </w:rPr>
            </w:pPr>
            <w:r w:rsidRPr="00C747A2">
              <w:rPr>
                <w:rFonts w:ascii="Calibri" w:eastAsia="Calibri" w:hAnsi="Calibri" w:cs="Calibri"/>
                <w:lang w:eastAsia="en-US"/>
              </w:rPr>
              <w:t>Defensoria Pública da União</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eastAsia="Calibri" w:hAnsi="Calibri" w:cs="Calibri"/>
                <w:lang w:eastAsia="en-US"/>
              </w:rPr>
            </w:pPr>
            <w:r w:rsidRPr="00C747A2">
              <w:rPr>
                <w:rFonts w:ascii="Calibri" w:hAnsi="Calibri" w:cs="Calibri"/>
              </w:rPr>
              <w:t>35.000</w:t>
            </w:r>
          </w:p>
        </w:tc>
        <w:tc>
          <w:tcPr>
            <w:tcW w:w="1731" w:type="dxa"/>
            <w:tcBorders>
              <w:left w:val="nil"/>
              <w:right w:val="nil"/>
            </w:tcBorders>
            <w:shd w:val="clear" w:color="auto" w:fill="FFFFFF"/>
          </w:tcPr>
          <w:p w:rsidR="000C6557" w:rsidRPr="00C747A2" w:rsidRDefault="000C6557" w:rsidP="00E37619">
            <w:pPr>
              <w:jc w:val="right"/>
              <w:rPr>
                <w:rFonts w:ascii="Calibri" w:eastAsia="Calibri" w:hAnsi="Calibri" w:cs="Calibri"/>
                <w:lang w:eastAsia="en-US"/>
              </w:rPr>
            </w:pPr>
            <w:r w:rsidRPr="00C747A2">
              <w:rPr>
                <w:rFonts w:ascii="Calibri" w:hAnsi="Calibri" w:cs="Calibri"/>
              </w:rPr>
              <w:t>35.000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eastAsia="Calibri" w:hAnsi="Calibri" w:cs="Calibri"/>
                <w:lang w:eastAsia="en-US"/>
              </w:rPr>
            </w:pP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eastAsia="Calibri" w:hAnsi="Calibri" w:cs="Calibri"/>
                <w:lang w:eastAsia="en-US"/>
              </w:rPr>
            </w:pP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b/>
                <w:bCs/>
                <w:color w:val="000000"/>
              </w:rPr>
            </w:pPr>
            <w:r w:rsidRPr="00C747A2">
              <w:rPr>
                <w:rFonts w:ascii="Calibri" w:hAnsi="Calibri"/>
                <w:b/>
                <w:bCs/>
                <w:color w:val="000000"/>
              </w:rPr>
              <w:t>Ministério Público da União</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b/>
                <w:bCs/>
                <w:color w:val="000000"/>
              </w:rPr>
            </w:pPr>
            <w:r w:rsidRPr="00C747A2">
              <w:rPr>
                <w:rFonts w:ascii="Calibri" w:hAnsi="Calibri"/>
                <w:b/>
                <w:bCs/>
                <w:color w:val="000000"/>
              </w:rPr>
              <w:t>1.860.000</w:t>
            </w:r>
          </w:p>
        </w:tc>
        <w:tc>
          <w:tcPr>
            <w:tcW w:w="1731" w:type="dxa"/>
            <w:tcBorders>
              <w:left w:val="nil"/>
              <w:right w:val="nil"/>
            </w:tcBorders>
            <w:shd w:val="clear" w:color="auto" w:fill="FFFFFF"/>
          </w:tcPr>
          <w:p w:rsidR="000C6557" w:rsidRPr="00C747A2" w:rsidRDefault="000C6557" w:rsidP="00E37619">
            <w:pPr>
              <w:jc w:val="right"/>
              <w:rPr>
                <w:rFonts w:ascii="Calibri" w:hAnsi="Calibri"/>
                <w:b/>
                <w:bCs/>
                <w:color w:val="000000"/>
              </w:rPr>
            </w:pPr>
            <w:r w:rsidRPr="00C747A2">
              <w:rPr>
                <w:rFonts w:ascii="Calibri" w:hAnsi="Calibri"/>
                <w:b/>
                <w:bCs/>
                <w:color w:val="000000"/>
              </w:rPr>
              <w:t>1.860.000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lang w:eastAsia="en-US"/>
              </w:rPr>
            </w:pPr>
            <w:r w:rsidRPr="00C747A2">
              <w:rPr>
                <w:rFonts w:ascii="Calibri" w:hAnsi="Calibri"/>
                <w:lang w:eastAsia="en-US"/>
              </w:rPr>
              <w:t>Ministério Público Federal</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rPr>
            </w:pPr>
            <w:r w:rsidRPr="00C747A2">
              <w:rPr>
                <w:rFonts w:ascii="Calibri" w:hAnsi="Calibri" w:cs="Calibri"/>
              </w:rPr>
              <w:t>1.000.000</w:t>
            </w: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r w:rsidRPr="00C747A2">
              <w:rPr>
                <w:rFonts w:ascii="Calibri" w:hAnsi="Calibri" w:cs="Calibri"/>
              </w:rPr>
              <w:t>1.000.000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lang w:eastAsia="en-US"/>
              </w:rPr>
            </w:pPr>
            <w:r w:rsidRPr="00C747A2">
              <w:rPr>
                <w:rFonts w:ascii="Calibri" w:hAnsi="Calibri"/>
                <w:lang w:eastAsia="en-US"/>
              </w:rPr>
              <w:t>Ministério Público Militar</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rPr>
            </w:pPr>
            <w:r w:rsidRPr="00C747A2">
              <w:rPr>
                <w:rFonts w:ascii="Calibri" w:hAnsi="Calibri" w:cs="Calibri"/>
              </w:rPr>
              <w:t>1.000</w:t>
            </w: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r w:rsidRPr="00C747A2">
              <w:rPr>
                <w:rFonts w:ascii="Calibri" w:hAnsi="Calibri" w:cs="Calibri"/>
              </w:rPr>
              <w:t>1.000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lang w:eastAsia="en-US"/>
              </w:rPr>
            </w:pPr>
            <w:r w:rsidRPr="00C747A2">
              <w:rPr>
                <w:rFonts w:ascii="Calibri" w:hAnsi="Calibri"/>
                <w:lang w:eastAsia="en-US"/>
              </w:rPr>
              <w:t>Ministério Público do Distrito Federal e dos Territórios</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rPr>
            </w:pPr>
            <w:r w:rsidRPr="00C747A2">
              <w:rPr>
                <w:rFonts w:ascii="Calibri" w:hAnsi="Calibri" w:cs="Calibri"/>
              </w:rPr>
              <w:t>190.000</w:t>
            </w: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r w:rsidRPr="00C747A2">
              <w:rPr>
                <w:rFonts w:ascii="Calibri" w:hAnsi="Calibri" w:cs="Calibri"/>
              </w:rPr>
              <w:t>190.000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lang w:eastAsia="en-US"/>
              </w:rPr>
            </w:pPr>
            <w:r w:rsidRPr="00C747A2">
              <w:rPr>
                <w:rFonts w:ascii="Calibri" w:hAnsi="Calibri"/>
                <w:lang w:eastAsia="en-US"/>
              </w:rPr>
              <w:t>Ministério Público do Trabalho</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rPr>
            </w:pPr>
            <w:r w:rsidRPr="00C747A2">
              <w:rPr>
                <w:rFonts w:ascii="Calibri" w:hAnsi="Calibri" w:cs="Calibri"/>
              </w:rPr>
              <w:t>668.000</w:t>
            </w: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r w:rsidRPr="00C747A2">
              <w:rPr>
                <w:rFonts w:ascii="Calibri" w:hAnsi="Calibri" w:cs="Calibri"/>
              </w:rPr>
              <w:t>668.000</w:t>
            </w:r>
          </w:p>
        </w:tc>
      </w:tr>
      <w:tr w:rsidR="000C6557" w:rsidRPr="00421A5D"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lang w:eastAsia="en-US"/>
              </w:rPr>
            </w:pPr>
            <w:r w:rsidRPr="00C747A2">
              <w:rPr>
                <w:rFonts w:ascii="Calibri" w:hAnsi="Calibri"/>
                <w:lang w:eastAsia="en-US"/>
              </w:rPr>
              <w:t>Escola Superior do Ministério Público da União</w:t>
            </w: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rPr>
            </w:pPr>
            <w:r w:rsidRPr="00C747A2">
              <w:rPr>
                <w:rFonts w:ascii="Calibri" w:hAnsi="Calibri" w:cs="Calibri"/>
              </w:rPr>
              <w:t>1.000</w:t>
            </w:r>
          </w:p>
        </w:tc>
        <w:tc>
          <w:tcPr>
            <w:tcW w:w="1731" w:type="dxa"/>
            <w:tcBorders>
              <w:left w:val="nil"/>
              <w:right w:val="nil"/>
            </w:tcBorders>
            <w:shd w:val="clear" w:color="auto" w:fill="FFFFFF"/>
          </w:tcPr>
          <w:p w:rsidR="000C6557" w:rsidRPr="00C747A2" w:rsidRDefault="000C6557" w:rsidP="00E37619">
            <w:pPr>
              <w:jc w:val="right"/>
              <w:rPr>
                <w:rFonts w:ascii="Calibri" w:hAnsi="Calibri"/>
                <w:lang w:eastAsia="en-US"/>
              </w:rPr>
            </w:pPr>
            <w:r w:rsidRPr="00C747A2">
              <w:rPr>
                <w:rFonts w:ascii="Calibri" w:hAnsi="Calibri" w:cs="Calibri"/>
              </w:rPr>
              <w:t>1.000</w:t>
            </w:r>
          </w:p>
        </w:tc>
      </w:tr>
      <w:tr w:rsidR="000C6557" w:rsidRPr="00ED799C" w:rsidTr="00E37619">
        <w:trPr>
          <w:trHeight w:val="284"/>
        </w:trPr>
        <w:tc>
          <w:tcPr>
            <w:tcW w:w="6096" w:type="dxa"/>
            <w:tcBorders>
              <w:left w:val="nil"/>
              <w:right w:val="single" w:sz="4" w:space="0" w:color="auto"/>
            </w:tcBorders>
            <w:shd w:val="clear" w:color="auto" w:fill="FFFFFF"/>
            <w:tcMar>
              <w:left w:w="425" w:type="dxa"/>
            </w:tcMar>
          </w:tcPr>
          <w:p w:rsidR="000C6557" w:rsidRPr="00C747A2" w:rsidRDefault="000C6557" w:rsidP="00E37619">
            <w:pPr>
              <w:rPr>
                <w:rFonts w:ascii="Calibri" w:hAnsi="Calibri" w:cs="Calibri"/>
                <w:bCs/>
                <w:color w:val="000000"/>
              </w:rPr>
            </w:pPr>
          </w:p>
        </w:tc>
        <w:tc>
          <w:tcPr>
            <w:tcW w:w="1718" w:type="dxa"/>
            <w:tcBorders>
              <w:left w:val="nil"/>
              <w:right w:val="single" w:sz="4" w:space="0" w:color="auto"/>
            </w:tcBorders>
            <w:shd w:val="clear" w:color="auto" w:fill="FFFFFF"/>
          </w:tcPr>
          <w:p w:rsidR="000C6557" w:rsidRPr="00C747A2" w:rsidRDefault="000C6557" w:rsidP="00E37619">
            <w:pPr>
              <w:jc w:val="right"/>
              <w:rPr>
                <w:rFonts w:ascii="Calibri" w:hAnsi="Calibri" w:cs="Calibri"/>
                <w:bCs/>
                <w:color w:val="000000"/>
              </w:rPr>
            </w:pPr>
          </w:p>
        </w:tc>
        <w:tc>
          <w:tcPr>
            <w:tcW w:w="1731" w:type="dxa"/>
            <w:tcBorders>
              <w:left w:val="nil"/>
              <w:right w:val="nil"/>
            </w:tcBorders>
            <w:shd w:val="clear" w:color="auto" w:fill="FFFFFF"/>
          </w:tcPr>
          <w:p w:rsidR="000C6557" w:rsidRPr="00C747A2" w:rsidRDefault="000C6557" w:rsidP="00E37619">
            <w:pPr>
              <w:jc w:val="right"/>
              <w:rPr>
                <w:rFonts w:ascii="Calibri" w:hAnsi="Calibri" w:cs="Calibri"/>
                <w:bCs/>
                <w:color w:val="000000"/>
              </w:rPr>
            </w:pPr>
          </w:p>
        </w:tc>
      </w:tr>
      <w:tr w:rsidR="000C6557" w:rsidRPr="001E6127" w:rsidTr="00E37619">
        <w:trPr>
          <w:trHeight w:val="284"/>
        </w:trPr>
        <w:tc>
          <w:tcPr>
            <w:tcW w:w="6096"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0C6557" w:rsidRPr="00C747A2" w:rsidRDefault="000C6557" w:rsidP="00E37619">
            <w:pPr>
              <w:rPr>
                <w:rFonts w:ascii="Calibri" w:hAnsi="Calibri" w:cs="Calibri"/>
                <w:b/>
                <w:bCs/>
                <w:color w:val="000000"/>
              </w:rPr>
            </w:pPr>
            <w:r w:rsidRPr="00C747A2">
              <w:rPr>
                <w:rFonts w:ascii="Calibri" w:hAnsi="Calibri" w:cs="Calibri"/>
                <w:b/>
                <w:color w:val="000000"/>
              </w:rPr>
              <w:t>Total</w:t>
            </w:r>
          </w:p>
        </w:tc>
        <w:tc>
          <w:tcPr>
            <w:tcW w:w="1718" w:type="dxa"/>
            <w:tcBorders>
              <w:top w:val="single" w:sz="4" w:space="0" w:color="auto"/>
              <w:left w:val="nil"/>
              <w:bottom w:val="single" w:sz="4" w:space="0" w:color="auto"/>
              <w:right w:val="single" w:sz="4" w:space="0" w:color="auto"/>
            </w:tcBorders>
            <w:shd w:val="clear" w:color="auto" w:fill="FFFFFF"/>
            <w:vAlign w:val="center"/>
          </w:tcPr>
          <w:p w:rsidR="000C6557" w:rsidRPr="00C747A2" w:rsidRDefault="000C6557" w:rsidP="00E37619">
            <w:pPr>
              <w:jc w:val="right"/>
              <w:rPr>
                <w:rFonts w:ascii="Calibri" w:hAnsi="Calibri"/>
                <w:b/>
                <w:bCs/>
                <w:color w:val="000000"/>
              </w:rPr>
            </w:pPr>
            <w:r w:rsidRPr="00C747A2">
              <w:rPr>
                <w:rFonts w:ascii="Calibri" w:hAnsi="Calibri"/>
                <w:b/>
                <w:bCs/>
                <w:color w:val="000000"/>
                <w:shd w:val="clear" w:color="auto" w:fill="F5F5F5"/>
              </w:rPr>
              <w:t>1.895.000</w:t>
            </w:r>
          </w:p>
        </w:tc>
        <w:tc>
          <w:tcPr>
            <w:tcW w:w="1731" w:type="dxa"/>
            <w:tcBorders>
              <w:top w:val="single" w:sz="4" w:space="0" w:color="auto"/>
              <w:left w:val="nil"/>
              <w:bottom w:val="single" w:sz="4" w:space="0" w:color="auto"/>
              <w:right w:val="nil"/>
            </w:tcBorders>
            <w:shd w:val="clear" w:color="auto" w:fill="FFFFFF"/>
            <w:vAlign w:val="center"/>
          </w:tcPr>
          <w:p w:rsidR="000C6557" w:rsidRPr="00C747A2" w:rsidRDefault="000C6557" w:rsidP="00E37619">
            <w:pPr>
              <w:jc w:val="right"/>
              <w:rPr>
                <w:rFonts w:ascii="Calibri" w:hAnsi="Calibri"/>
                <w:b/>
                <w:bCs/>
                <w:color w:val="000000"/>
              </w:rPr>
            </w:pPr>
            <w:r w:rsidRPr="00C747A2">
              <w:rPr>
                <w:rFonts w:ascii="Calibri" w:hAnsi="Calibri"/>
                <w:b/>
                <w:bCs/>
                <w:color w:val="000000"/>
                <w:shd w:val="clear" w:color="auto" w:fill="F5F5F5"/>
              </w:rPr>
              <w:t>1.895.000</w:t>
            </w:r>
          </w:p>
        </w:tc>
      </w:tr>
    </w:tbl>
    <w:p w:rsidR="000C6557" w:rsidRPr="00C747A2" w:rsidRDefault="000C6557" w:rsidP="000C6557">
      <w:pPr>
        <w:tabs>
          <w:tab w:val="left" w:pos="426"/>
        </w:tabs>
        <w:rPr>
          <w:rFonts w:ascii="Calibri" w:hAnsi="Calibri" w:cs="Calibri"/>
        </w:rPr>
      </w:pPr>
    </w:p>
    <w:p w:rsidR="00E10CB6" w:rsidRDefault="00E10CB6">
      <w:pPr>
        <w:pStyle w:val="Standard"/>
        <w:ind w:left="567" w:right="284"/>
        <w:rPr>
          <w:b/>
          <w:i/>
          <w:sz w:val="22"/>
        </w:rPr>
      </w:pPr>
    </w:p>
    <w:sectPr w:rsidR="00E10CB6" w:rsidSect="00F144E1">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44" w:rsidRDefault="000C6557">
      <w:r>
        <w:separator/>
      </w:r>
    </w:p>
  </w:endnote>
  <w:endnote w:type="continuationSeparator" w:id="0">
    <w:p w:rsidR="004E3744" w:rsidRDefault="000C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44" w:rsidRDefault="000C6557">
      <w:r>
        <w:rPr>
          <w:color w:val="000000"/>
        </w:rPr>
        <w:ptab w:relativeTo="margin" w:alignment="center" w:leader="none"/>
      </w:r>
    </w:p>
  </w:footnote>
  <w:footnote w:type="continuationSeparator" w:id="0">
    <w:p w:rsidR="004E3744" w:rsidRDefault="000C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B6"/>
    <w:rsid w:val="000C6557"/>
    <w:rsid w:val="004E3744"/>
    <w:rsid w:val="007D7723"/>
    <w:rsid w:val="00D404D3"/>
    <w:rsid w:val="00E10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C3EE3-C498-45DE-A8C1-8966B0E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3953</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Milton Guilhon Rosa</cp:lastModifiedBy>
  <cp:revision>2</cp:revision>
  <dcterms:created xsi:type="dcterms:W3CDTF">2024-05-07T22:21:00Z</dcterms:created>
  <dcterms:modified xsi:type="dcterms:W3CDTF">2024-05-07T22:21:00Z</dcterms:modified>
</cp:coreProperties>
</file>