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7" w:rsidRPr="009539A9" w:rsidRDefault="00930327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930327" w:rsidRPr="009539A9" w:rsidRDefault="006B191C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EMI n</w:t>
      </w:r>
      <w:r w:rsidRPr="009539A9">
        <w:rPr>
          <w:rFonts w:ascii="Arial" w:hAnsi="Arial" w:cs="Arial"/>
          <w:strike/>
          <w:sz w:val="20"/>
          <w:szCs w:val="20"/>
        </w:rPr>
        <w:t>º</w:t>
      </w:r>
      <w:r w:rsidRPr="009539A9">
        <w:rPr>
          <w:rFonts w:ascii="Arial" w:hAnsi="Arial" w:cs="Arial"/>
          <w:sz w:val="20"/>
          <w:szCs w:val="20"/>
        </w:rPr>
        <w:t xml:space="preserve"> 00179/2023 MF MDIC</w:t>
      </w:r>
    </w:p>
    <w:p w:rsidR="00930327" w:rsidRPr="009539A9" w:rsidRDefault="006B191C">
      <w:pPr>
        <w:pStyle w:val="Textbody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 </w:t>
      </w:r>
    </w:p>
    <w:p w:rsidR="00930327" w:rsidRPr="009539A9" w:rsidRDefault="006B191C">
      <w:pPr>
        <w:pStyle w:val="PreformattedText"/>
        <w:spacing w:after="1701"/>
        <w:jc w:val="right"/>
        <w:rPr>
          <w:rFonts w:ascii="Arial" w:hAnsi="Arial" w:cs="Arial"/>
        </w:rPr>
      </w:pPr>
      <w:r w:rsidRPr="009539A9">
        <w:rPr>
          <w:rFonts w:ascii="Arial" w:hAnsi="Arial" w:cs="Arial"/>
        </w:rPr>
        <w:t>Brasília, 30 de Dezembro de 2023</w:t>
      </w:r>
    </w:p>
    <w:p w:rsidR="00930327" w:rsidRPr="009539A9" w:rsidRDefault="006B191C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Senhor Presidente da República,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1.                Submetemos à sua apreciação Projeto de Lei que autoriza condições diferenciadas de depreciação acelerada para máquinas, equipamentos, aparelhos e instrumentos, novos, destinados ao ativo imobilizado de determinadas atividades econômicas.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2.                A proposta possibilita que o Poder Executivo, mediante decreto, autorize condições diferenciadas de depreciação acelerada para máquinas, equipamentos, aparelhos e instrumentos, novos, adquiridos entre 1º de janeiro de 2024 e 31 de dezembro de 2024, destinados ao ativo imobilizado de determinadas atividades econômicas e empregados na atividade empresarial do adquirente. Poderão ser objeto de depreciação acelerada bens de capital do ativo não circulante classificados como imobilizado e sujeitos a desgaste pelo uso ou por causas naturais ou obsolescência normal.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3.                A proposta objetiva estimular os investimentos em máquinas e equipamentos, ativos essenciais para a produção, incentivando a modernização e renovação de processos produtivos, e resultando em menor custo de produção, maior eficiência, produtividade e competitividade nacional e internacional, impulsionando o crescimento econômico do País.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4.                Para tanto, será admitida, no cálculo do Imposto de Renda da Pessoa Jurídica e da Contribuição Social sobre Lucro Líquido, para os bens incorporados ao ativo imobilizado do adquirente, a depreciação de até 50% (cinquenta por cento) do valor dos referidos bens no ano em que o bem é instalado, posto em serviço ou em condições de produzir e até 50% (cinquenta por cento) no ano seguinte ao em que o bem é instalado, posto em serviço ou em condições de produzir, para bens adquiridos entre 1º e janeiro de 2024 e 31 de dezembro de 2024.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 xml:space="preserve">5.                Em cumprimento ao disposto no inciso I do art. 14 da Lei Complementar nº 101, de 4 de maio de 2000, Lei de Responsabilidade Fiscal (LRF), cabe informar que a medida em tela tem renúncia estimada de R$ 1,7 bilhão em 2024 e de mesmo valor em 2025. O referido impacto em 2024 será compensado por meio de decisão da Câmara de Comércio Exterior de dezembro de 2023 de elevação da alíquota do </w:t>
      </w:r>
      <w:r w:rsidRPr="009539A9">
        <w:rPr>
          <w:rFonts w:ascii="Arial" w:hAnsi="Arial" w:cs="Arial"/>
          <w:sz w:val="20"/>
          <w:szCs w:val="20"/>
        </w:rPr>
        <w:lastRenderedPageBreak/>
        <w:t>Imposto de Importação para placas fotovoltaicas, retirando-as da Lista de Exceções à Tarifa Externa Comum do Mercosul (LEBIT/BK) e elevando a alíquota de 6% para 10,8%. Por fim, todos os ex-tarifários de placas solares serão revogados, com a aprovação de quotas para importação com alíquota 0% como mecanismo de desabastecimento, resultando em um saldo de arrecadação adicional. Para 2025, a renúncia será prevista no Projeto de Lei Orçamentária Anual. Posteriormente, mediante a apresentação de outras fontes de compensação, o Poder Executivo poderá, por Decreto, ampliar o rol de atividades econômicas contempladas pela medida.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6.                Os impactos estimados refletem a mudança no fluxo de receitas tributárias devido à aceleração da depreciação desses ativos para um conjunto mínimo de setores econômicos. Além disso, a Lei prevê a possibilidade de expansão futura da sua abrangência, com a inclusão de mais setores por decreto, mediante a devida compensação prevista na LRF. Dessa forma, desde que cumpridas as regras fiscais, o Poder Executivo tem a prerrogativa de, por meio de Decreto, ampliar o rol de atividades econômicas beneficiadas pela medida. Essa flexibilidade assegura que a medida possa ser adaptada e expandida para atender às necessidades dinâmicas da economia, promovendo o crescimento e a inovação em mais setores.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7.                Ato do Poder Executivo disporá sobre o âmbito de aplicação da medida, no que concerne às atividades econômicas abrangidas pelas condições diferenciadas de depreciação acelerada e aos requisitos obrigatórios para promoção da indústria nacional e a agregação de valor no País a serem cumpridos pelos bens elegíveis. O Poder Executivo poderá definir requisitos obrigatórios para promoção da indústria nacional e a agregação de valor no País a serem cumpridos por atividades econômicas específicas.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8.                A urgência e a relevância da medida decorrem da necessidade de estimular a taxa de investimentos no País, representada pela razão entre a Formação Bruta de Capital Fixo e o Produto Interno Bruto, que atingiu 15,7% no primeiro trimestre de 2023, na série a valores correntes, resultado abaixo da taxa de investimento média mensal considerando tanto o período desde 2000 (18,0%) quanto desde o 1º trimestre de 2015 (16,6%), desempenho insuficiente para alavancar consistentemente o crescimento econômico. Ademais, a tramitação ordinária por meio de projeto de lei poderia gerar expectativas incertas no mercado, inclusive quanto ao escopo e abrangência, levando ao adiamento de parte dos investimentos por empresas que aguardam a aprovação da medida, postura contrária ao próprio objetivo da norma de estimular os investimentos.</w:t>
      </w:r>
    </w:p>
    <w:p w:rsidR="00930327" w:rsidRPr="009539A9" w:rsidRDefault="006B191C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9.                Essas, Senhor Presidente, são as razões que justificam a elaboração do Projeto de Lei que ora submetemos a sua apreciação.</w:t>
      </w:r>
    </w:p>
    <w:p w:rsidR="00930327" w:rsidRPr="009539A9" w:rsidRDefault="00930327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930327" w:rsidRPr="009539A9" w:rsidRDefault="006B191C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Respeitosamente,</w:t>
      </w:r>
    </w:p>
    <w:p w:rsidR="00930327" w:rsidRPr="009539A9" w:rsidRDefault="00930327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930327" w:rsidRPr="009539A9" w:rsidRDefault="006B191C">
      <w:pPr>
        <w:pStyle w:val="Textbody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 </w:t>
      </w:r>
    </w:p>
    <w:p w:rsidR="00930327" w:rsidRPr="009539A9" w:rsidRDefault="006B191C">
      <w:pPr>
        <w:pStyle w:val="Textbody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sz w:val="20"/>
          <w:szCs w:val="20"/>
        </w:rPr>
        <w:t> </w:t>
      </w: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930327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930327" w:rsidRPr="009539A9" w:rsidRDefault="006B191C" w:rsidP="00034B1A">
      <w:pPr>
        <w:pStyle w:val="Standard"/>
        <w:ind w:left="567" w:right="284"/>
        <w:rPr>
          <w:rFonts w:ascii="Arial" w:hAnsi="Arial" w:cs="Arial"/>
          <w:sz w:val="20"/>
          <w:szCs w:val="20"/>
        </w:rPr>
      </w:pPr>
      <w:r w:rsidRPr="009539A9">
        <w:rPr>
          <w:rFonts w:ascii="Arial" w:hAnsi="Arial" w:cs="Arial"/>
          <w:b/>
          <w:i/>
          <w:sz w:val="20"/>
          <w:szCs w:val="20"/>
        </w:rPr>
        <w:t>Assinado eletronicamente por: Fernando Haddad, Geraldo Jose Rodrigues Alckmin Filho</w:t>
      </w:r>
      <w:bookmarkEnd w:id="0"/>
    </w:p>
    <w:sectPr w:rsidR="00930327" w:rsidRPr="009539A9" w:rsidSect="006B19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EE" w:rsidRDefault="006B191C">
      <w:r>
        <w:separator/>
      </w:r>
    </w:p>
  </w:endnote>
  <w:endnote w:type="continuationSeparator" w:id="0">
    <w:p w:rsidR="004C6FEE" w:rsidRDefault="006B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EE" w:rsidRDefault="006B191C">
      <w:r>
        <w:rPr>
          <w:color w:val="000000"/>
        </w:rPr>
        <w:separator/>
      </w:r>
    </w:p>
  </w:footnote>
  <w:footnote w:type="continuationSeparator" w:id="0">
    <w:p w:rsidR="004C6FEE" w:rsidRDefault="006B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034B1A"/>
    <w:rsid w:val="004C6FEE"/>
    <w:rsid w:val="006B191C"/>
    <w:rsid w:val="00930327"/>
    <w:rsid w:val="009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F54E-38EC-415B-9F7F-D32EA1A6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Edvaldo Luiz da Silva</cp:lastModifiedBy>
  <cp:revision>2</cp:revision>
  <dcterms:created xsi:type="dcterms:W3CDTF">2024-01-05T14:42:00Z</dcterms:created>
  <dcterms:modified xsi:type="dcterms:W3CDTF">2024-01-05T14:42:00Z</dcterms:modified>
</cp:coreProperties>
</file>