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21" w:rsidRPr="00377CA9" w:rsidRDefault="00BB3D21">
      <w:pPr>
        <w:pStyle w:val="Textbody"/>
        <w:rPr>
          <w:rFonts w:ascii="Arial" w:hAnsi="Arial" w:cs="Arial"/>
          <w:b/>
          <w:sz w:val="20"/>
          <w:szCs w:val="20"/>
        </w:rPr>
      </w:pPr>
      <w:bookmarkStart w:id="0" w:name="_GoBack"/>
    </w:p>
    <w:p w:rsidR="00BB3D21" w:rsidRPr="00377CA9" w:rsidRDefault="00464724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EM n</w:t>
      </w:r>
      <w:r w:rsidRPr="00377CA9">
        <w:rPr>
          <w:rFonts w:ascii="Arial" w:hAnsi="Arial" w:cs="Arial"/>
          <w:strike/>
          <w:sz w:val="20"/>
          <w:szCs w:val="20"/>
        </w:rPr>
        <w:t>º</w:t>
      </w:r>
      <w:r w:rsidRPr="00377CA9">
        <w:rPr>
          <w:rFonts w:ascii="Arial" w:hAnsi="Arial" w:cs="Arial"/>
          <w:sz w:val="20"/>
          <w:szCs w:val="20"/>
        </w:rPr>
        <w:t xml:space="preserve"> 00079/2023 MPO</w:t>
      </w:r>
    </w:p>
    <w:p w:rsidR="00BB3D21" w:rsidRPr="00377CA9" w:rsidRDefault="00464724">
      <w:pPr>
        <w:pStyle w:val="Textbody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</w:t>
      </w:r>
    </w:p>
    <w:p w:rsidR="00BB3D21" w:rsidRPr="00377CA9" w:rsidRDefault="00464724">
      <w:pPr>
        <w:pStyle w:val="PreformattedText"/>
        <w:spacing w:after="1701"/>
        <w:jc w:val="right"/>
        <w:rPr>
          <w:rFonts w:ascii="Arial" w:hAnsi="Arial" w:cs="Arial"/>
        </w:rPr>
      </w:pPr>
      <w:r w:rsidRPr="00377CA9">
        <w:rPr>
          <w:rFonts w:ascii="Arial" w:hAnsi="Arial" w:cs="Arial"/>
        </w:rPr>
        <w:t>Brasília, 10 de Outubro de 2023</w:t>
      </w:r>
    </w:p>
    <w:p w:rsidR="00BB3D21" w:rsidRPr="00377CA9" w:rsidRDefault="00464724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Senhor Presidente da República,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1.                Proponho a abertura de crédito especial ao Orçamento Fiscal da União (Lei nº 14.535, de 17 de janeiro de 2023), no valor de R$ 207.439.016,00 (duzentos e sete milhões, quatrocentos e trinta e nove mil e dezesseis reais), em favor dos Ministérios da Agricultura e Pecuária, da Educação, da Justiça e Segurança Pública, dos Transportes, da Cultura, da Defesa, e de Portos e Aeroportos, e de Encargos Financeiros da União, conforme demonstrado em Quadro Anexo a esta Exposição de Motivos.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2.                O crédito em pauta visa incluir novas categorias de programação no orçamento vigente dos mencionados órgãos, a fim de viabilizar despesas com: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                   a) no Ministério da Agricultura e Pecuária: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Empresa Brasileira de Pesquisa Agropecuária – EMBRAPA, a ajuda de custo para moradia ou auxílio-moradia a agentes públicos;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                   b) no Ministério da Educação: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Universidade Federal Fluminense, o pagamento de despesas com auxílio-moradia a servidor nomeado a Cargo em Comissão em município diferente de sua lotação;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                   c) no Ministério da Justiça e Segurança Pública: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Departamento de Polícia Federal, a contratação de empresa de engenharia ou arquitetura para a construção da nova sede da Delegacia de Polícia Federal de Ponta Porã – no Estado de Mao Grosso do Sul, e de empresa para a execução da obra de implantação do Pátio Multipropósito da Superintendência Regional de Polícia Federal, no Estado do Rio de Janeiro, que compreenderá um Pátio para veículos apreendidos (leves e pesados) com área para armazenamento/depósito de materiais e perícia; e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 xml:space="preserve">- Fundo Penitenciário Nacional – FUNPEN, a capacitação de profissionais e gestores de segurança pública, por meio do projeto Bolsa Formação - </w:t>
      </w:r>
      <w:r w:rsidRPr="00377CA9">
        <w:rPr>
          <w:rFonts w:ascii="Arial" w:hAnsi="Arial" w:cs="Arial"/>
          <w:sz w:val="20"/>
          <w:szCs w:val="20"/>
        </w:rPr>
        <w:lastRenderedPageBreak/>
        <w:t>Pronasci 2, tendo em vista o Decreto nº 11.436, de 15 de março de 2023, que regulamenta a Lei nº 11.530, de 24 de outubro de 2007, para estabelecer os eixos prioritários para a execução do Programa Nacional de Segurança Pública com Cidadania - Pronasci, no biênio 2023-2024, denominado Pronasci 2;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                   d) no Ministério dos Transportes: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Departamento Nacional de Infraestrutura de Transportes – DNIT, a construção de terminais fluviais nos Municípios de Abaetetuba, de Augusto Corrêa, de Cametá e de Belém, no Estado do Pará; a construção de edificação para recepção de passageiros do Porto de Maceió, no Estado de Alagoas; a dragagem de adequação da navegabilidade em portos, nas Regiões Nordeste e Sul; a implantação de postos de pesagem no Estado de Goiás; a construção de contorno rodoviário em Caicó - na BR-427/RN; a construção do Arco Metropolitano de Maceió - na BR-316/424/AL; a construção de Trecho Rodoviário - Cocos – Div BA/GO – na BR-030/BA - no Município de Cocos – BA; a construção da ponte sobre o Rio Paranaíba e seus Acessos - na BR 153/GO/MG - no Município de Itumbiara – GO; a adequação de trecho rodoviário - Entroncamento BR-101 (Manilha) e Entroncamento BR-116 (Santa Guilhermina) - na BR-493/RJ - no Estado do Rio de Janeiro; e a adequação de Anel Rodoviário em Belo Horizonte - nas BRs 040/135/262/381/MG - no Município de Belo Horizonte – MG;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                   e) no Ministério da Cultura: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Administração Direta, o pagamento da contribuição à Organização dos Estados Ibero-americanos para a Educação, a Ciência e a Cultura (OEI), a fim de impulsionar ações e programas brasileiros, internacionalizar produtos e serviços de empreendedores brasileiros, promover setores culturais e criativos com foco no empreendedorismo, geração de renda e fortalecimento das cadeias produtivas, contribuir com estudos e pesquisas sobre desenvolvimento cultural no Brasil e na Ibero-América e desenvolver ações de divulgação de informações e melhores práticas; e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Agência Nacional do Cinema – ANCINE, o atendimento de contrato de gestão para fins de redução do passivo existente na Cinemateca Brasileira, mediante o processamento técnico do acervo e a emissão do respectivo laudo técnico, atestando o cumprimento dos requisitos estabelecidos para a preservação das obras;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                   f) no Ministério da Defesa: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Administração Direta, a implementação de infraestrutura básica nos Municípios da Região do Calha Norte, destacando localizador específico no presente crédito para o Município de Rorainópolis, no Estado de Roraima;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                   g) no Ministério de Portos e Aeroportos: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Fundo Nacional de Aviação Civil – FNAC, a reforma, ampliação e reaparelhamento do Aeroporto de Santa Rosa/RS, no Estado do Rio Grande do Sul; e a reforma e reaparelhamento do Aeroporto de Ariquemes/RO, no Estado de Rondônia; e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lastRenderedPageBreak/>
        <w:t>                    h) em Encargos Financeiros da União:</w:t>
      </w:r>
    </w:p>
    <w:p w:rsidR="00BB3D21" w:rsidRPr="00377CA9" w:rsidRDefault="0046472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- Recursos sob Supervisão do Ministério da Fazenda, o atendimento de despesas incorridas pelos bancos oficiais federais, em exercícios anteriores, amparadas pelo art. 3º da Lei 13.340, de 2016, reapresentadas no presente exercício, para possibilitar a liquidação e execução pela Secretaria do Tesouro Nacional.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3.                O pleito em referência será viabilizado mediante Projeto de Lei, à conta de anulação de dotações orçamentárias, observado o disposto no art. 43, § 1º, inciso III, da Lei nº 4.320, de 17 de março de 1964, em conformidade com as prescrições do art. 167, inciso V, da Constituição.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4.                Em relação ao que dispõe o art. 52, § 4º, da Lei nº 14.436, de 9 de agosto de 2022, Lei de Diretrizes Orçamentárias para 2023 - LDO-2023, cumpre informar que as alterações propostas no presente ato não afetam a obtenção da meta de resultado primário fixada para o corrente exercício, uma vez que se referem a remanejamento entre despesas primárias, não alterando o seu montante.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5.                No que tange aos limites individualizados para as despesas primárias e demais operações que afetam o resultado primário, vale mencionar que o crédito em questão está de acordo com o § 1º do art. 12 da Lei Complementar nº 200, de 30 de agosto de 2023, por não ampliar as dotações orçamentárias sujeitas aos mencionados limites. Ressalta-se que, com a sanção da citada Lei, ficou revogado o art. 107 do Ato das Disposições Constitucionais Transitórias - ADCT, conforme dispõe o art. 9º da Emenda Constitucional nº 126, de 21 de dezembro de 2022, aplicando-se, em 2023, os limites vigentes no momento da publicação da LOA-2023, relativos ao respectivo Poder ou órgão, segundo o estabelecido no caput do art. 12 da Lei Complementar nº 200, de 2023.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6.                No que diz respeito ao disposto no inciso III do caput do art. 167 da Constituição Federal, cumpre ressaltar que o presente ato afeta positivamente o cumprimento da “Regra de Ouro”.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7.                Em relação ao § 18 do art. 52 da LDO-2023, segue, em anexo, o demonstrativo de desvios de valores cancelados que ultrapassam vinte por cento das dotações das respectivas ações.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8.                Cabe acrescentar que os ajustes do Plano Plurianual para o período de 2020 a 2023, de que trata a Lei nº 13.971, de 27 de dezembro de 2019, porventura necessários em decorrência das alterações promovidas, deverão ser realizados de acordo com o inciso I do art. 21 da referida Lei.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9.                Ressalte-se, por oportuno, que as alterações em comento decorrem de solicitações formalizadas, por meio do Sistema Integrado de Planejamento e Orçamento – SIOP, e as programações objeto de cancelamento não sofrerão prejuízo na sua execução, uma vez que os remanejamentos propostos estão de acordo com as projeções de execução até o final do exercício.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 xml:space="preserve">10.              Informo ainda que, na hipótese de atendimento ao pleito, a proposta de abertura do referido crédito deverá ser encaminhada ao Congresso Nacional até o dia </w:t>
      </w:r>
      <w:r w:rsidRPr="00377CA9">
        <w:rPr>
          <w:rFonts w:ascii="Arial" w:hAnsi="Arial" w:cs="Arial"/>
          <w:sz w:val="20"/>
          <w:szCs w:val="20"/>
        </w:rPr>
        <w:lastRenderedPageBreak/>
        <w:t>15 de outubro de 2023, de acordo com o § 2º do art. 52 da LDO-2023.</w:t>
      </w:r>
    </w:p>
    <w:p w:rsidR="00BB3D21" w:rsidRPr="00377CA9" w:rsidRDefault="0046472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11.              Diante do exposto, submeto à sua consideração o anexo Projeto de Lei, que visa efetivar a abertura de crédito especial.</w:t>
      </w:r>
    </w:p>
    <w:p w:rsidR="00BB3D21" w:rsidRPr="00377CA9" w:rsidRDefault="00464724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Respeitosamente,</w:t>
      </w:r>
    </w:p>
    <w:p w:rsidR="00BB3D21" w:rsidRPr="00377CA9" w:rsidRDefault="00BB3D21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BB3D21" w:rsidRPr="00377CA9" w:rsidRDefault="00464724">
      <w:pPr>
        <w:pStyle w:val="Textbody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</w:t>
      </w:r>
    </w:p>
    <w:p w:rsidR="00BB3D21" w:rsidRPr="00377CA9" w:rsidRDefault="00464724">
      <w:pPr>
        <w:pStyle w:val="Textbody"/>
        <w:rPr>
          <w:rFonts w:ascii="Arial" w:hAnsi="Arial" w:cs="Arial"/>
          <w:sz w:val="20"/>
          <w:szCs w:val="20"/>
        </w:rPr>
      </w:pPr>
      <w:r w:rsidRPr="00377CA9">
        <w:rPr>
          <w:rFonts w:ascii="Arial" w:hAnsi="Arial" w:cs="Arial"/>
          <w:sz w:val="20"/>
          <w:szCs w:val="20"/>
        </w:rPr>
        <w:t> </w:t>
      </w: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BB3D21" w:rsidRPr="00377CA9" w:rsidRDefault="00BB3D2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64724" w:rsidRPr="00377CA9" w:rsidRDefault="00464724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464724" w:rsidRPr="00377CA9">
          <w:pgSz w:w="11906" w:h="16838"/>
          <w:pgMar w:top="1134" w:right="1134" w:bottom="1134" w:left="1134" w:header="720" w:footer="720" w:gutter="0"/>
          <w:cols w:space="720"/>
        </w:sectPr>
      </w:pPr>
      <w:r w:rsidRPr="00377CA9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1040"/>
        <w:gridCol w:w="560"/>
        <w:gridCol w:w="799"/>
        <w:gridCol w:w="3480"/>
        <w:gridCol w:w="441"/>
        <w:gridCol w:w="1600"/>
        <w:gridCol w:w="1119"/>
        <w:gridCol w:w="480"/>
        <w:gridCol w:w="781"/>
        <w:gridCol w:w="819"/>
        <w:gridCol w:w="1600"/>
        <w:gridCol w:w="481"/>
        <w:gridCol w:w="1119"/>
        <w:gridCol w:w="920"/>
        <w:gridCol w:w="760"/>
        <w:gridCol w:w="40"/>
        <w:gridCol w:w="399"/>
      </w:tblGrid>
      <w:tr w:rsidR="00464724" w:rsidRPr="00377CA9" w:rsidTr="00852745">
        <w:trPr>
          <w:trHeight w:hRule="exact" w:val="4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hAnsi="Arial" w:cs="Arial"/>
                <w:noProof/>
                <w:sz w:val="20"/>
                <w:szCs w:val="20"/>
                <w:lang w:eastAsia="pt-BR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2465" cy="67246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" w:hAnsi="Arial" w:cs="Arial"/>
                <w:b/>
                <w:sz w:val="20"/>
                <w:szCs w:val="20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" w:hAnsi="Arial" w:cs="Arial"/>
                <w:sz w:val="20"/>
                <w:szCs w:val="20"/>
              </w:rPr>
              <w:t>SIOP - Alterações Orçamentárias</w:t>
            </w:r>
          </w:p>
        </w:tc>
        <w:tc>
          <w:tcPr>
            <w:tcW w:w="7000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" w:hAnsi="Arial" w:cs="Arial"/>
                <w:b/>
                <w:sz w:val="20"/>
                <w:szCs w:val="20"/>
              </w:rPr>
              <w:t>Exercício: 2023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4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" w:hAnsi="Arial" w:cs="Arial"/>
                <w:b/>
                <w:sz w:val="20"/>
                <w:szCs w:val="20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999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" w:hAnsi="Arial" w:cs="Arial"/>
                <w:sz w:val="20"/>
                <w:szCs w:val="20"/>
              </w:rPr>
              <w:t>(Art.52, §18, da Lei nº 14.436, de 9 de agosto de 2022)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1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" w:hAnsi="Arial" w:cs="Arial"/>
                <w:b/>
                <w:sz w:val="20"/>
                <w:szCs w:val="20"/>
              </w:rPr>
              <w:t>R$ 1,00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4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4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t>LOA</w:t>
            </w: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t>Dotação</w:t>
            </w: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t>Créditos em</w:t>
            </w: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t>Valor deste</w:t>
            </w: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t>Dotação Resultante</w:t>
            </w: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(E) = B + C + D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t>Desvio em Relação à</w:t>
            </w:r>
            <w:r w:rsidRPr="00377CA9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LOA (F) = (E - A) / A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4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10.30108.06.181.5016.155H.2762 - Construção da Delegacia de Juiz de Fora/MG - No Município de Juiz de Fora - MG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800.000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800.000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-800.000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-100,00 %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10.42206.13.131.0032.4641.0001 - Publicidade de Utilidade Pública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-200.000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-100,00 %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10.68902.26.781.3004.14UB.5071 - Reforma e Reaparelhamento de Aeroportos e Aeródromos de Interesse Regional - No Município de Santa Rosa - RS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7.000.000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7.000.000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-6.000.000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-1.000.000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-100,00 %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10.42101.28.846.0910.00OQ.0002 - Contribuições a Organismos Internacionais sem Exigência de Programação Específica - Exterior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2.000.000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-1.882.172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117.828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-94,11 %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10.52101.05.244.6011.1211.0734 - Implementação de Infraestrutura Básica nos Municípios da Região do Calha Norte - No Município de São Luís - MA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22.000.000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22.000.000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-20.000.000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2.000.000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-90,91 %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10.39252.26.782.3006.108X.0021 - Implantação de Postos de Pesagem - No Estado do Maranhão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81.880.000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18.350.000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-641.378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17.708.622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-78,37 %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10.42206.13.392.5025.20ZI.0001 - Fomento ao Setor Audiovisual (Medida Provisória nº 2.228-1/2001)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1.960.047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1.960.047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-1.500.000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460.047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-76,53 %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10.52101.05.244.6011.1211.0638 - Implementação de Infraestrutura Básica nos Municípios da Região do Calha Norte - No Município de Imperatriz - MA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40.000.000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40.000.000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-30.000.000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10.000.000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-75,00 %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10.30108.06.181.5016.15XB.5664 - Construção do Instituto Nacional de Identificação - INI/DIREX/PF - Em Brasília - DF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2.000.000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-1.400.000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600.000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-70,00 %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10.39252.26.782.3006.105S.0029 - Adequação de Trecho Rodoviário - Divisa SE/BA - Entroncamento BR-324 - na BR-101/BA - No Estado da Bahia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180.875.274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60.875.274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-5.000.000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55.875.274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-69,11 %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10.42101.13.392.5025.20ZF.0001 - Promoção e Fomento à Cultura Brasileira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40.915.443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29.625.381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-4.079.431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25.545.950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-37,56 %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10.39252.26.784.3005.219Z.6037 - Conservação e Recuperação de Ativos de Infraestrutura da União - Na Região Hidrográfica do São Francisco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41.563.931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34.563.931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-6.200.000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28.363.931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-31,76 %</w:t>
            </w: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38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6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1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hAnsi="Arial" w:cs="Arial"/>
                <w:sz w:val="20"/>
                <w:szCs w:val="20"/>
              </w:rPr>
              <w:t>SIOP - http://www.siop.planejamento.gov.br</w:t>
            </w: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hAnsi="Arial" w:cs="Arial"/>
                <w:sz w:val="20"/>
                <w:szCs w:val="20"/>
              </w:rPr>
              <w:t>06/10/2023 16:16</w:t>
            </w: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2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>Página 1 de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377CA9">
              <w:rPr>
                <w:rFonts w:ascii="Arial" w:eastAsia="Arial Narrow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1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4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64724" w:rsidRPr="00377CA9" w:rsidTr="00852745">
        <w:trPr>
          <w:trHeight w:hRule="exact" w:val="400"/>
        </w:trPr>
        <w:tc>
          <w:tcPr>
            <w:tcW w:w="4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464724" w:rsidRPr="00377CA9" w:rsidRDefault="0046472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BB3D21" w:rsidRPr="00377CA9" w:rsidRDefault="00BB3D21" w:rsidP="00464724">
      <w:pPr>
        <w:rPr>
          <w:rFonts w:ascii="Arial" w:hAnsi="Arial" w:cs="Arial"/>
          <w:b/>
          <w:i/>
          <w:sz w:val="20"/>
          <w:szCs w:val="20"/>
        </w:rPr>
      </w:pPr>
    </w:p>
    <w:sectPr w:rsidR="00BB3D21" w:rsidRPr="00377CA9" w:rsidSect="00464724">
      <w:pgSz w:w="16838" w:h="11906" w:orient="landscape"/>
      <w:pgMar w:top="0" w:right="0" w:bottom="142" w:left="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27" w:rsidRDefault="00464724">
      <w:r>
        <w:separator/>
      </w:r>
    </w:p>
  </w:endnote>
  <w:endnote w:type="continuationSeparator" w:id="0">
    <w:p w:rsidR="000B2F27" w:rsidRDefault="004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27" w:rsidRDefault="00464724">
      <w:r>
        <w:rPr>
          <w:color w:val="000000"/>
        </w:rPr>
        <w:ptab w:relativeTo="margin" w:alignment="center" w:leader="none"/>
      </w:r>
    </w:p>
  </w:footnote>
  <w:footnote w:type="continuationSeparator" w:id="0">
    <w:p w:rsidR="000B2F27" w:rsidRDefault="004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21"/>
    <w:rsid w:val="000B2F27"/>
    <w:rsid w:val="00377CA9"/>
    <w:rsid w:val="00464724"/>
    <w:rsid w:val="00BB3D21"/>
    <w:rsid w:val="00C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6C98D-439D-412E-9E79-961141DA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rsid w:val="00464724"/>
    <w:pPr>
      <w:widowControl/>
      <w:autoSpaceDN/>
      <w:textAlignment w:val="auto"/>
    </w:pPr>
    <w:rPr>
      <w:rFonts w:eastAsia="Times New Roman" w:cs="Times New Roman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9234</Characters>
  <Application>Microsoft Office Word</Application>
  <DocSecurity>4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dcterms:created xsi:type="dcterms:W3CDTF">2023-10-16T13:30:00Z</dcterms:created>
  <dcterms:modified xsi:type="dcterms:W3CDTF">2023-10-16T13:30:00Z</dcterms:modified>
</cp:coreProperties>
</file>