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7D" w:rsidRPr="00F86D2D" w:rsidRDefault="009B037D">
      <w:pPr>
        <w:pStyle w:val="Textbody"/>
        <w:rPr>
          <w:rFonts w:ascii="Arial" w:hAnsi="Arial" w:cs="Arial"/>
          <w:b/>
          <w:sz w:val="20"/>
          <w:szCs w:val="20"/>
        </w:rPr>
      </w:pPr>
      <w:bookmarkStart w:id="0" w:name="_GoBack"/>
    </w:p>
    <w:p w:rsidR="009B037D" w:rsidRPr="00F86D2D" w:rsidRDefault="00E23314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EM n</w:t>
      </w:r>
      <w:r w:rsidRPr="00F86D2D">
        <w:rPr>
          <w:rFonts w:ascii="Arial" w:hAnsi="Arial" w:cs="Arial"/>
          <w:strike/>
          <w:sz w:val="20"/>
          <w:szCs w:val="20"/>
        </w:rPr>
        <w:t>º</w:t>
      </w:r>
      <w:r w:rsidRPr="00F86D2D">
        <w:rPr>
          <w:rFonts w:ascii="Arial" w:hAnsi="Arial" w:cs="Arial"/>
          <w:sz w:val="20"/>
          <w:szCs w:val="20"/>
        </w:rPr>
        <w:t xml:space="preserve"> 00078/2023 MPO</w:t>
      </w:r>
    </w:p>
    <w:p w:rsidR="009B037D" w:rsidRPr="00F86D2D" w:rsidRDefault="00E23314">
      <w:pPr>
        <w:pStyle w:val="Textbody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 </w:t>
      </w:r>
    </w:p>
    <w:p w:rsidR="009B037D" w:rsidRPr="00F86D2D" w:rsidRDefault="00E23314">
      <w:pPr>
        <w:pStyle w:val="PreformattedText"/>
        <w:spacing w:after="1701"/>
        <w:jc w:val="right"/>
        <w:rPr>
          <w:rFonts w:ascii="Arial" w:hAnsi="Arial" w:cs="Arial"/>
        </w:rPr>
      </w:pPr>
      <w:r w:rsidRPr="00F86D2D">
        <w:rPr>
          <w:rFonts w:ascii="Arial" w:hAnsi="Arial" w:cs="Arial"/>
        </w:rPr>
        <w:t>Brasília, 10 de Outubro de 2023</w:t>
      </w:r>
    </w:p>
    <w:p w:rsidR="009B037D" w:rsidRPr="00F86D2D" w:rsidRDefault="00E23314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Senhor Presidente da República,</w:t>
      </w:r>
    </w:p>
    <w:p w:rsidR="009B037D" w:rsidRPr="00F86D2D" w:rsidRDefault="00E2331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1.                Proponho a abertura de crédito especial ao Orçamento Fiscal da União (Lei nº 14.535, de 17 de janeiro de 2023), no valor de R$ 73.005.655,00 (setenta e três milhões, cinco mil, seiscentos e cinquenta e cinco reais), em favor dos Ministérios da Justiça e Segurança Pública, da Defesa, das Cidades, e de Portos e Aeroportos, conforme demonstrado em Quadro Anexo a esta Exposição de Motivos.</w:t>
      </w:r>
    </w:p>
    <w:p w:rsidR="009B037D" w:rsidRPr="00F86D2D" w:rsidRDefault="00E2331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2.                O crédito em pauta visa incluir novas categorias de programação no orçamento vigente dos mencionados órgãos, referentes a emendas de bancada estadual, de acordo com a solicitação de seus autores, a fim de atender despesas com:</w:t>
      </w:r>
    </w:p>
    <w:p w:rsidR="009B037D" w:rsidRPr="00F86D2D" w:rsidRDefault="00E2331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                    a) no Ministério da Justiça e Segurança Pública:</w:t>
      </w:r>
    </w:p>
    <w:p w:rsidR="009B037D" w:rsidRPr="00F86D2D" w:rsidRDefault="00E2331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- Administração Direta, o desenvolvimento de políticas de segurança pública, prevenção e enfrentamento à criminalidade, no Estado do Acre; e o apoio ao Sistema Penitenciário Nacional;</w:t>
      </w:r>
    </w:p>
    <w:p w:rsidR="009B037D" w:rsidRPr="00F86D2D" w:rsidRDefault="00E2331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                    b) no Ministério da Defesa:</w:t>
      </w:r>
    </w:p>
    <w:p w:rsidR="009B037D" w:rsidRPr="00F86D2D" w:rsidRDefault="00E2331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- Administração Direta, a implementação de infraestrutura básica no Município de Alto Alegre, no Estado de Roraima, da Região do Calha Norte;</w:t>
      </w:r>
    </w:p>
    <w:p w:rsidR="009B037D" w:rsidRPr="00F86D2D" w:rsidRDefault="00E2331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                    c) no Ministério das Cidades:</w:t>
      </w:r>
    </w:p>
    <w:p w:rsidR="009B037D" w:rsidRPr="00F86D2D" w:rsidRDefault="00E2331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- Administração Direta, o apoio à Política Nacional de Desenvolvimento Urbano voltado à implantação e qualificação viária, e a subvenção econômica destinada à ampliação do acesso ao financiamento habitacional, no Estado de Goiás; e</w:t>
      </w:r>
    </w:p>
    <w:p w:rsidR="009B037D" w:rsidRPr="00F86D2D" w:rsidRDefault="00E2331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                    d) no Ministério de Portos e Aeroportos:</w:t>
      </w:r>
    </w:p>
    <w:p w:rsidR="009B037D" w:rsidRPr="00F86D2D" w:rsidRDefault="00E23314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- Fundo Nacional de Aviação Civil – FNAC, a reforma, ampliação e reaparelhamento do Aeroporto de Santa Rosa/RS, no Estado do Rio Grande do Sul.</w:t>
      </w:r>
    </w:p>
    <w:p w:rsidR="009B037D" w:rsidRPr="00F86D2D" w:rsidRDefault="00E2331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 xml:space="preserve">3.                O pleito em referência será viabilizado mediante Projeto de Lei, à conta de anulação de dotações orçamentárias, referentes a emendas de bancada estadual, </w:t>
      </w:r>
      <w:r w:rsidRPr="00F86D2D">
        <w:rPr>
          <w:rFonts w:ascii="Arial" w:hAnsi="Arial" w:cs="Arial"/>
          <w:sz w:val="20"/>
          <w:szCs w:val="20"/>
        </w:rPr>
        <w:lastRenderedPageBreak/>
        <w:t>observado o disposto no art. 43, § 1º, inciso III, da Lei nº 4.320, de 17 de março de 1964, em conformidade com as prescrições do art. 167, inciso V, da Constituição.</w:t>
      </w:r>
    </w:p>
    <w:p w:rsidR="009B037D" w:rsidRPr="00F86D2D" w:rsidRDefault="00E2331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4.                Em relação ao que dispõe o art. 52, § 4º, da Lei nº 14.436, de 9 de agosto de 2022, Lei de Diretrizes Orçamentárias para 2023 - LDO-2023, cumpre informar que as alterações propostas no presente ato não afetam a obtenção da meta de resultado primário fixada para o corrente exercício, uma vez que se referem a remanejamento entre despesas primárias discricionárias, não alterando o seu montante.</w:t>
      </w:r>
    </w:p>
    <w:p w:rsidR="009B037D" w:rsidRPr="00F86D2D" w:rsidRDefault="00E2331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5.                No que tange aos limites individualizados para as despesas primárias e demais operações que afetam o resultado primário, vale mencionar que o crédito em questão está de acordo com o § 1º do art. 12 da Lei Complementar nº 200, de 30 de agosto de 2023, por não ampliar as dotações orçamentárias sujeitas aos mencionados limites. Ressalta-se que, com a sanção da citada Lei, ficou revogado o art. 107 do Ato das Disposições Constitucionais Transitórias - ADCT, conforme dispõe o art. 9º da Emenda Constitucional nº 126, de 21 de dezembro de 2022, aplicando-se, em 2023, os limites vigentes no momento da publicação da LOA-2023, relativos ao respectivo Poder ou órgão, segundo o estabelecido no caput do art. 12 da Lei Complementar nº 200, de 2023.</w:t>
      </w:r>
    </w:p>
    <w:p w:rsidR="009B037D" w:rsidRPr="00F86D2D" w:rsidRDefault="00E2331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6.                No que diz respeito ao disposto no inciso III do caput do art. 167 da Constituição Federal, cumpre ressaltar que o presente ato afeta positivamente o cumprimento da “Regra de Ouro”.</w:t>
      </w:r>
    </w:p>
    <w:p w:rsidR="009B037D" w:rsidRPr="00F86D2D" w:rsidRDefault="00E2331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7.                Cabe informar que, de acordo com o § 2º do art. 50 da LDO-2023, está sendo feita concomitantemente, no ato em pauta, troca de fontes de recursos no valor de R$ 25.898.681,00 (vinte e cinco milhões, oitocentos e noventa e oito mil, seiscentos e oitenta e um reais), com a utilização de superávit financeiro apurado no balanço patrimonial do exercício de 2022, da fonte 000 – “Recursos Livres da União”, e a redução da fonte 133 – “Educação Básica, Vedado o Pagamento de Despesas com Pessoal”, tendo em vista a especificidade no uso da fonte cancelada.</w:t>
      </w:r>
    </w:p>
    <w:p w:rsidR="009B037D" w:rsidRPr="00F86D2D" w:rsidRDefault="00E2331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8.                Em relação aos §§ 15 e 18 do art. 52 da LDO-2023, seguem, em anexo, os demonstrativos de desvios de valores cancelados que ultrapassam vinte por cento das dotações das respectivas ações, e do superávit financeiro utilizado na mencionada troca de fontes.</w:t>
      </w:r>
    </w:p>
    <w:p w:rsidR="009B037D" w:rsidRPr="00F86D2D" w:rsidRDefault="00E2331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9.                Cabe acrescentar que os ajustes do Plano Plurianual para o período de 2020 a 2023, de que trata a Lei nº 13.971, de 27 de dezembro de 2019, porventura necessários em decorrência das alterações promovidas, deverão ser realizados de acordo com o inciso I do art. 21 da referida Lei.</w:t>
      </w:r>
    </w:p>
    <w:p w:rsidR="009B037D" w:rsidRPr="00F86D2D" w:rsidRDefault="00E2331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10.              Ressalte-se, por oportuno, que as alterações em comento decorrem de solicitações formalizadas, por meio do Sistema Integrado de Planejamento e Orçamento – SIOP, e as programações objeto de cancelamento, referentes a emendas de bancada estadual, não sofrerão prejuízo na sua execução, uma vez que os remanejamentos propostos estão de acordo com as respectivas solicitações das bancadas, exaradas nos Ofícios pertinentes.</w:t>
      </w:r>
    </w:p>
    <w:p w:rsidR="009B037D" w:rsidRPr="00F86D2D" w:rsidRDefault="00E2331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lastRenderedPageBreak/>
        <w:t>11.              Informo ainda que, na hipótese de atendimento ao pleito, a proposta de abertura do referido crédito deverá ser encaminhada ao Congresso Nacional até o dia 15 de outubro de 2023, de acordo com o § 2º do art. 52 da LDO-2023.</w:t>
      </w:r>
    </w:p>
    <w:p w:rsidR="009B037D" w:rsidRPr="00F86D2D" w:rsidRDefault="00E23314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12.              Diante do exposto, submeto à sua consideração o anexo Projeto de Lei, que visa efetivar a abertura de crédito especial.</w:t>
      </w:r>
    </w:p>
    <w:p w:rsidR="009B037D" w:rsidRPr="00F86D2D" w:rsidRDefault="00E23314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Respeitosamente,</w:t>
      </w:r>
    </w:p>
    <w:p w:rsidR="009B037D" w:rsidRPr="00F86D2D" w:rsidRDefault="009B037D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9B037D" w:rsidRPr="00F86D2D" w:rsidRDefault="00E23314">
      <w:pPr>
        <w:pStyle w:val="Textbody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 </w:t>
      </w:r>
    </w:p>
    <w:p w:rsidR="009B037D" w:rsidRPr="00F86D2D" w:rsidRDefault="00E23314">
      <w:pPr>
        <w:pStyle w:val="Textbody"/>
        <w:rPr>
          <w:rFonts w:ascii="Arial" w:hAnsi="Arial" w:cs="Arial"/>
          <w:sz w:val="20"/>
          <w:szCs w:val="20"/>
        </w:rPr>
      </w:pPr>
      <w:r w:rsidRPr="00F86D2D">
        <w:rPr>
          <w:rFonts w:ascii="Arial" w:hAnsi="Arial" w:cs="Arial"/>
          <w:sz w:val="20"/>
          <w:szCs w:val="20"/>
        </w:rPr>
        <w:t> </w:t>
      </w:r>
    </w:p>
    <w:p w:rsidR="00E23314" w:rsidRPr="00F86D2D" w:rsidRDefault="00E23314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  <w:sectPr w:rsidR="00E23314" w:rsidRPr="00F86D2D">
          <w:pgSz w:w="11906" w:h="16838"/>
          <w:pgMar w:top="1134" w:right="1134" w:bottom="1134" w:left="1134" w:header="720" w:footer="720" w:gutter="0"/>
          <w:cols w:space="720"/>
        </w:sectPr>
      </w:pPr>
      <w:r w:rsidRPr="00F86D2D">
        <w:rPr>
          <w:rFonts w:ascii="Arial" w:hAnsi="Arial" w:cs="Arial"/>
          <w:b/>
          <w:i/>
          <w:sz w:val="20"/>
          <w:szCs w:val="20"/>
        </w:rPr>
        <w:t>Assinado eletronicamente por: Simone Nassar Tebet</w:t>
      </w:r>
    </w:p>
    <w:p w:rsidR="00E23314" w:rsidRPr="00F86D2D" w:rsidRDefault="00E23314" w:rsidP="00E23314">
      <w:pPr>
        <w:pStyle w:val="xl48"/>
        <w:spacing w:before="0" w:after="0"/>
        <w:jc w:val="left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4005"/>
        <w:gridCol w:w="825"/>
        <w:gridCol w:w="3660"/>
      </w:tblGrid>
      <w:tr w:rsidR="00E23314" w:rsidRPr="00F86D2D" w:rsidTr="00852745">
        <w:tc>
          <w:tcPr>
            <w:tcW w:w="9600" w:type="dxa"/>
            <w:gridSpan w:val="4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14" w:rsidRPr="00F86D2D" w:rsidTr="00852745">
        <w:tc>
          <w:tcPr>
            <w:tcW w:w="9600" w:type="dxa"/>
            <w:gridSpan w:val="4"/>
            <w:shd w:val="clear" w:color="auto" w:fill="auto"/>
            <w:vAlign w:val="bottom"/>
          </w:tcPr>
          <w:p w:rsidR="00E23314" w:rsidRPr="00F86D2D" w:rsidRDefault="00E23314" w:rsidP="0085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DEMONSTRATIVO DE SUPERÁVIT FINANCEIRO</w:t>
            </w:r>
          </w:p>
        </w:tc>
      </w:tr>
      <w:tr w:rsidR="00E23314" w:rsidRPr="00F86D2D" w:rsidTr="00852745">
        <w:tc>
          <w:tcPr>
            <w:tcW w:w="9600" w:type="dxa"/>
            <w:gridSpan w:val="4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(Art. 52, § 6º, da Lei nº 14.436, de 9 de agosto de 2022)</w:t>
            </w:r>
          </w:p>
        </w:tc>
      </w:tr>
      <w:tr w:rsidR="00E23314" w:rsidRPr="00F86D2D" w:rsidTr="00852745">
        <w:tc>
          <w:tcPr>
            <w:tcW w:w="9600" w:type="dxa"/>
            <w:gridSpan w:val="4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spacing w:line="10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314" w:rsidRPr="00F86D2D" w:rsidTr="00852745">
        <w:tc>
          <w:tcPr>
            <w:tcW w:w="9600" w:type="dxa"/>
            <w:gridSpan w:val="4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rPr>
                <w:rFonts w:ascii="Arial" w:eastAsia="Consolas" w:hAnsi="Arial" w:cs="Arial"/>
                <w:b/>
                <w:bCs/>
                <w:sz w:val="20"/>
                <w:szCs w:val="20"/>
              </w:rPr>
            </w:pPr>
          </w:p>
        </w:tc>
      </w:tr>
      <w:tr w:rsidR="00E23314" w:rsidRPr="00F86D2D" w:rsidTr="00852745">
        <w:tc>
          <w:tcPr>
            <w:tcW w:w="9600" w:type="dxa"/>
            <w:gridSpan w:val="4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Consolas" w:hAnsi="Arial" w:cs="Arial"/>
                <w:sz w:val="20"/>
                <w:szCs w:val="20"/>
              </w:rPr>
              <w:t>Fonte: 000 - RECURSOS LIVRES DA UNIAO</w:t>
            </w:r>
          </w:p>
        </w:tc>
      </w:tr>
      <w:tr w:rsidR="00E23314" w:rsidRPr="00F86D2D" w:rsidTr="0085274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9600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R$ 1,00</w:t>
            </w:r>
          </w:p>
        </w:tc>
      </w:tr>
      <w:tr w:rsidR="00E23314" w:rsidRPr="00F86D2D" w:rsidTr="00852745">
        <w:tc>
          <w:tcPr>
            <w:tcW w:w="5940" w:type="dxa"/>
            <w:gridSpan w:val="3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(A) Superávit Financeiro apurado no balanço patrimonial do exercício de 2022</w:t>
            </w:r>
          </w:p>
        </w:tc>
        <w:tc>
          <w:tcPr>
            <w:tcW w:w="366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121.334.025.784</w:t>
            </w:r>
          </w:p>
        </w:tc>
      </w:tr>
      <w:tr w:rsidR="00E23314" w:rsidRPr="00F86D2D" w:rsidTr="00852745">
        <w:tc>
          <w:tcPr>
            <w:tcW w:w="5940" w:type="dxa"/>
            <w:gridSpan w:val="3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(B) Remanejamentos de saldo do superávit financeiro entre unidades, compatíveis com o parágrafo único do art. 8º da LRF</w:t>
            </w:r>
          </w:p>
        </w:tc>
        <w:tc>
          <w:tcPr>
            <w:tcW w:w="366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23314" w:rsidRPr="00F86D2D" w:rsidTr="00852745">
        <w:trPr>
          <w:trHeight w:val="255"/>
        </w:trPr>
        <w:tc>
          <w:tcPr>
            <w:tcW w:w="5115" w:type="dxa"/>
            <w:gridSpan w:val="2"/>
            <w:shd w:val="clear" w:color="auto" w:fill="auto"/>
          </w:tcPr>
          <w:p w:rsidR="00E23314" w:rsidRPr="00F86D2D" w:rsidRDefault="00E23314" w:rsidP="00852745">
            <w:pPr>
              <w:autoSpaceDE w:val="0"/>
              <w:snapToGrid w:val="0"/>
              <w:spacing w:before="45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color w:val="000000"/>
                <w:sz w:val="20"/>
                <w:szCs w:val="20"/>
              </w:rPr>
              <w:t>(C) Créditos Especiais e Extraordinários Reabertos</w:t>
            </w:r>
          </w:p>
        </w:tc>
        <w:tc>
          <w:tcPr>
            <w:tcW w:w="4485" w:type="dxa"/>
            <w:gridSpan w:val="2"/>
            <w:shd w:val="clear" w:color="auto" w:fill="auto"/>
          </w:tcPr>
          <w:p w:rsidR="00E23314" w:rsidRPr="00F86D2D" w:rsidRDefault="00E23314" w:rsidP="00852745">
            <w:pPr>
              <w:autoSpaceDE w:val="0"/>
              <w:snapToGrid w:val="0"/>
              <w:spacing w:before="4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color w:val="000000"/>
                <w:sz w:val="20"/>
                <w:szCs w:val="20"/>
              </w:rPr>
              <w:t>4.461.000</w:t>
            </w:r>
          </w:p>
        </w:tc>
      </w:tr>
      <w:tr w:rsidR="00E23314" w:rsidRPr="00F86D2D" w:rsidTr="00852745">
        <w:trPr>
          <w:trHeight w:val="255"/>
        </w:trPr>
        <w:tc>
          <w:tcPr>
            <w:tcW w:w="111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Abertos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4.461.000</w:t>
            </w:r>
          </w:p>
        </w:tc>
      </w:tr>
      <w:tr w:rsidR="00E23314" w:rsidRPr="00F86D2D" w:rsidTr="00852745">
        <w:trPr>
          <w:trHeight w:val="255"/>
        </w:trPr>
        <w:tc>
          <w:tcPr>
            <w:tcW w:w="111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Em tramitação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23314" w:rsidRPr="00F86D2D" w:rsidTr="00852745">
        <w:trPr>
          <w:trHeight w:val="255"/>
        </w:trPr>
        <w:tc>
          <w:tcPr>
            <w:tcW w:w="111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Valor deste crédito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23314" w:rsidRPr="00F86D2D" w:rsidTr="00852745">
        <w:trPr>
          <w:trHeight w:val="255"/>
        </w:trPr>
        <w:tc>
          <w:tcPr>
            <w:tcW w:w="5115" w:type="dxa"/>
            <w:gridSpan w:val="2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(D) Créditos Extraordinários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1.876.504.300</w:t>
            </w:r>
          </w:p>
        </w:tc>
      </w:tr>
      <w:tr w:rsidR="00E23314" w:rsidRPr="00F86D2D" w:rsidTr="00852745">
        <w:trPr>
          <w:trHeight w:val="255"/>
        </w:trPr>
        <w:tc>
          <w:tcPr>
            <w:tcW w:w="111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Abertos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1.876.504.300</w:t>
            </w:r>
          </w:p>
        </w:tc>
      </w:tr>
      <w:tr w:rsidR="00E23314" w:rsidRPr="00F86D2D" w:rsidTr="00852745">
        <w:trPr>
          <w:trHeight w:val="255"/>
        </w:trPr>
        <w:tc>
          <w:tcPr>
            <w:tcW w:w="111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Em tramitação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23314" w:rsidRPr="00F86D2D" w:rsidTr="00852745">
        <w:trPr>
          <w:trHeight w:val="255"/>
        </w:trPr>
        <w:tc>
          <w:tcPr>
            <w:tcW w:w="111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Valor deste crédito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23314" w:rsidRPr="00F86D2D" w:rsidTr="00852745">
        <w:trPr>
          <w:trHeight w:val="255"/>
        </w:trPr>
        <w:tc>
          <w:tcPr>
            <w:tcW w:w="5115" w:type="dxa"/>
            <w:gridSpan w:val="2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(E) Créditos Suplementares e Especiais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661.868.357</w:t>
            </w:r>
          </w:p>
        </w:tc>
      </w:tr>
      <w:tr w:rsidR="00E23314" w:rsidRPr="00F86D2D" w:rsidTr="00852745">
        <w:trPr>
          <w:trHeight w:val="255"/>
        </w:trPr>
        <w:tc>
          <w:tcPr>
            <w:tcW w:w="111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Abertos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142.200.623</w:t>
            </w:r>
          </w:p>
        </w:tc>
      </w:tr>
      <w:tr w:rsidR="00E23314" w:rsidRPr="00F86D2D" w:rsidTr="00852745">
        <w:trPr>
          <w:trHeight w:val="255"/>
        </w:trPr>
        <w:tc>
          <w:tcPr>
            <w:tcW w:w="111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Em tramitação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493.769.053</w:t>
            </w:r>
          </w:p>
        </w:tc>
      </w:tr>
      <w:tr w:rsidR="00E23314" w:rsidRPr="00F86D2D" w:rsidTr="00852745">
        <w:trPr>
          <w:trHeight w:val="255"/>
        </w:trPr>
        <w:tc>
          <w:tcPr>
            <w:tcW w:w="111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Valor deste crédito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25.898.681</w:t>
            </w:r>
          </w:p>
        </w:tc>
      </w:tr>
      <w:tr w:rsidR="00E23314" w:rsidRPr="00F86D2D" w:rsidTr="00852745">
        <w:trPr>
          <w:trHeight w:val="255"/>
        </w:trPr>
        <w:tc>
          <w:tcPr>
            <w:tcW w:w="5115" w:type="dxa"/>
            <w:gridSpan w:val="2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 xml:space="preserve">(F) </w:t>
            </w:r>
            <w:r w:rsidRPr="00F86D2D">
              <w:rPr>
                <w:rFonts w:ascii="Arial" w:eastAsia="TimesNewRomanPSMT" w:hAnsi="Arial" w:cs="Arial"/>
                <w:sz w:val="20"/>
                <w:szCs w:val="20"/>
              </w:rPr>
              <w:t>Outras alterações orçamentárias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42.499.985.381</w:t>
            </w:r>
          </w:p>
        </w:tc>
      </w:tr>
      <w:tr w:rsidR="00E23314" w:rsidRPr="00F86D2D" w:rsidTr="00852745">
        <w:trPr>
          <w:trHeight w:val="255"/>
        </w:trPr>
        <w:tc>
          <w:tcPr>
            <w:tcW w:w="111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Abertos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42.499.985.381</w:t>
            </w:r>
          </w:p>
        </w:tc>
      </w:tr>
      <w:tr w:rsidR="00E23314" w:rsidRPr="00F86D2D" w:rsidTr="00852745">
        <w:trPr>
          <w:trHeight w:val="255"/>
        </w:trPr>
        <w:tc>
          <w:tcPr>
            <w:tcW w:w="111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Em tramitação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23314" w:rsidRPr="00F86D2D" w:rsidTr="00852745">
        <w:trPr>
          <w:trHeight w:val="255"/>
        </w:trPr>
        <w:tc>
          <w:tcPr>
            <w:tcW w:w="1110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Valor deste crédito</w:t>
            </w:r>
          </w:p>
        </w:tc>
        <w:tc>
          <w:tcPr>
            <w:tcW w:w="4485" w:type="dxa"/>
            <w:gridSpan w:val="2"/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23314" w:rsidRPr="00F86D2D" w:rsidTr="00852745">
        <w:trPr>
          <w:trHeight w:val="255"/>
        </w:trPr>
        <w:tc>
          <w:tcPr>
            <w:tcW w:w="511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3314" w:rsidRPr="00F86D2D" w:rsidRDefault="00E23314" w:rsidP="00852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b/>
                <w:bCs/>
                <w:sz w:val="20"/>
                <w:szCs w:val="20"/>
              </w:rPr>
              <w:t>(G) Saldo = (A) + (B) - (C) - (D) - (E) - (F)</w:t>
            </w:r>
          </w:p>
        </w:tc>
        <w:tc>
          <w:tcPr>
            <w:tcW w:w="44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3314" w:rsidRPr="00F86D2D" w:rsidRDefault="00E23314" w:rsidP="00852745">
            <w:pPr>
              <w:snapToGrid w:val="0"/>
              <w:ind w:left="-745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b/>
                <w:bCs/>
                <w:sz w:val="20"/>
                <w:szCs w:val="20"/>
              </w:rPr>
              <w:t>76.291.206.746</w:t>
            </w:r>
          </w:p>
        </w:tc>
      </w:tr>
    </w:tbl>
    <w:p w:rsidR="00E23314" w:rsidRPr="00F86D2D" w:rsidRDefault="00E23314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  <w:sectPr w:rsidR="00E23314" w:rsidRPr="00F86D2D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1040"/>
        <w:gridCol w:w="560"/>
        <w:gridCol w:w="799"/>
        <w:gridCol w:w="3480"/>
        <w:gridCol w:w="441"/>
        <w:gridCol w:w="1600"/>
        <w:gridCol w:w="1119"/>
        <w:gridCol w:w="480"/>
        <w:gridCol w:w="781"/>
        <w:gridCol w:w="819"/>
        <w:gridCol w:w="1600"/>
        <w:gridCol w:w="481"/>
        <w:gridCol w:w="1119"/>
        <w:gridCol w:w="920"/>
        <w:gridCol w:w="760"/>
        <w:gridCol w:w="40"/>
        <w:gridCol w:w="399"/>
      </w:tblGrid>
      <w:tr w:rsidR="00E23314" w:rsidRPr="00F86D2D" w:rsidTr="00852745">
        <w:trPr>
          <w:trHeight w:hRule="exact" w:val="40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30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noProof/>
                <w:sz w:val="20"/>
                <w:szCs w:val="20"/>
                <w:lang w:eastAsia="pt-BR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2465" cy="67246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99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E23314" w:rsidRPr="00F86D2D" w:rsidRDefault="00E2331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" w:hAnsi="Arial" w:cs="Arial"/>
                <w:b/>
                <w:sz w:val="20"/>
                <w:szCs w:val="20"/>
              </w:rPr>
              <w:t>Ministério do Planejamento e Orçamento</w:t>
            </w:r>
          </w:p>
        </w:tc>
        <w:tc>
          <w:tcPr>
            <w:tcW w:w="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9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E23314" w:rsidRPr="00F86D2D" w:rsidRDefault="00E2331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" w:hAnsi="Arial" w:cs="Arial"/>
                <w:sz w:val="20"/>
                <w:szCs w:val="20"/>
              </w:rPr>
              <w:t>SIOP - Alterações Orçamentárias</w:t>
            </w:r>
          </w:p>
        </w:tc>
        <w:tc>
          <w:tcPr>
            <w:tcW w:w="7000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" w:hAnsi="Arial" w:cs="Arial"/>
                <w:b/>
                <w:sz w:val="20"/>
                <w:szCs w:val="20"/>
              </w:rPr>
              <w:t>Exercício: 2023</w:t>
            </w: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40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9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E23314" w:rsidRPr="00F86D2D" w:rsidRDefault="00E2331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" w:hAnsi="Arial" w:cs="Arial"/>
                <w:b/>
                <w:sz w:val="20"/>
                <w:szCs w:val="20"/>
              </w:rPr>
              <w:t>RELATÓRIO DEMONSTRATIVO DOS DESVIOS</w:t>
            </w:r>
          </w:p>
        </w:tc>
        <w:tc>
          <w:tcPr>
            <w:tcW w:w="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30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999" w:type="dxa"/>
            <w:gridSpan w:val="15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E23314" w:rsidRPr="00F86D2D" w:rsidRDefault="00E2331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" w:hAnsi="Arial" w:cs="Arial"/>
                <w:sz w:val="20"/>
                <w:szCs w:val="20"/>
              </w:rPr>
              <w:t>(Art.52, §18, da Lei nº 14.436, de 9 de agosto de 2022)</w:t>
            </w: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10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30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" w:hAnsi="Arial" w:cs="Arial"/>
                <w:b/>
                <w:sz w:val="20"/>
                <w:szCs w:val="20"/>
              </w:rPr>
              <w:t>R$ 1,00</w:t>
            </w: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4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2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2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40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23314" w:rsidRPr="00F86D2D" w:rsidRDefault="00E2331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b/>
                <w:sz w:val="20"/>
                <w:szCs w:val="20"/>
              </w:rPr>
              <w:t>Programação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b/>
                <w:sz w:val="20"/>
                <w:szCs w:val="20"/>
              </w:rPr>
              <w:t>LOA</w:t>
            </w:r>
            <w:r w:rsidRPr="00F86D2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(A)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b/>
                <w:sz w:val="20"/>
                <w:szCs w:val="20"/>
              </w:rPr>
              <w:t>Dotação</w:t>
            </w:r>
            <w:r w:rsidRPr="00F86D2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Atual (B)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b/>
                <w:sz w:val="20"/>
                <w:szCs w:val="20"/>
              </w:rPr>
              <w:t>Créditos em</w:t>
            </w:r>
            <w:r w:rsidRPr="00F86D2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Tramitação (C)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b/>
                <w:sz w:val="20"/>
                <w:szCs w:val="20"/>
              </w:rPr>
              <w:t>Valor deste</w:t>
            </w:r>
            <w:r w:rsidRPr="00F86D2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Crédito (D)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b/>
                <w:sz w:val="20"/>
                <w:szCs w:val="20"/>
              </w:rPr>
              <w:t>Dotação Resultante</w:t>
            </w:r>
            <w:r w:rsidRPr="00F86D2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(E) = B + C + D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b/>
                <w:sz w:val="20"/>
                <w:szCs w:val="20"/>
              </w:rPr>
              <w:t>Desvio em Relação à</w:t>
            </w:r>
            <w:r w:rsidRPr="00F86D2D">
              <w:rPr>
                <w:rFonts w:ascii="Arial" w:eastAsia="Arial Narrow" w:hAnsi="Arial" w:cs="Arial"/>
                <w:b/>
                <w:sz w:val="20"/>
                <w:szCs w:val="20"/>
              </w:rPr>
              <w:br/>
              <w:t>LOA (F) = (E - A) / A</w:t>
            </w: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2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2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4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54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10.30907.06.421.5016.21BP.7000 - Aprimoramento do Sistema Penitenciário Nacional e Incentivo ao Desenvolvimento da Inteligência Penitenciária - Aquisição de Veículos, Equipamentos e Material Permanente - No Estado de Minas Gerais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5.412.824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5.412.824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-5.412.824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-100,00 %</w:t>
            </w: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10.68902.26.781.3004.14UB.5071 - Reforma e Reaparelhamento de Aeroportos e Aeródromos de Interesse Regional - No Município de Santa Rosa - RS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7.000.000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7.000.000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-1.000.000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-6.000.000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-100,00 %</w:t>
            </w: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30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20.30912.06.244.5032.20R9.0052 - Redução da Demanda de Drogas - No Estado de Goiás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1.900.000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1.900.000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-1.900.000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-100,00 %</w:t>
            </w: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30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10.26298.12.368.5011.0509.0014 - Apoio ao Desenvolvimento da Educação Básica - No Estado de Roraima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26.937.979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26.937.979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-25.898.681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1.039.298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-96,14 %</w:t>
            </w: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10.30101.06.181.5016.21BM.0166 - Desenvolvimento de Políticas de Segurança Pública, Prevenção e Enfrentamento à Criminalidade - No Município de Rio Branco - AC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18.500.000</w:t>
            </w: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18.500.000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-1.000.000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-12.954.697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4.545.303</w:t>
            </w: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-75,43 %</w:t>
            </w: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36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578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2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6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2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21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SIOP - http://www.siop.planejamento.gov.br</w:t>
            </w: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hAnsi="Arial" w:cs="Arial"/>
                <w:sz w:val="20"/>
                <w:szCs w:val="20"/>
              </w:rPr>
              <w:t>06/10/2023 17:21</w:t>
            </w: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20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>Página 1 de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rPr>
                <w:rFonts w:ascii="Arial" w:hAnsi="Arial" w:cs="Arial"/>
                <w:sz w:val="20"/>
                <w:szCs w:val="20"/>
              </w:rPr>
            </w:pPr>
            <w:r w:rsidRPr="00F86D2D">
              <w:rPr>
                <w:rFonts w:ascii="Arial" w:eastAsia="Arial Narrow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21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23314" w:rsidRPr="00F86D2D" w:rsidTr="00852745">
        <w:trPr>
          <w:trHeight w:hRule="exact" w:val="40"/>
        </w:trPr>
        <w:tc>
          <w:tcPr>
            <w:tcW w:w="4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E23314" w:rsidRPr="00F86D2D" w:rsidRDefault="00E23314" w:rsidP="00852745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9B037D" w:rsidRPr="00F86D2D" w:rsidRDefault="009B037D" w:rsidP="00E23314">
      <w:pPr>
        <w:rPr>
          <w:rFonts w:ascii="Arial" w:hAnsi="Arial" w:cs="Arial"/>
          <w:b/>
          <w:i/>
          <w:sz w:val="20"/>
          <w:szCs w:val="20"/>
        </w:rPr>
      </w:pPr>
    </w:p>
    <w:sectPr w:rsidR="009B037D" w:rsidRPr="00F86D2D" w:rsidSect="00E23314">
      <w:pgSz w:w="16838" w:h="11906" w:orient="landscape"/>
      <w:pgMar w:top="142" w:right="0" w:bottom="426" w:left="14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FC" w:rsidRDefault="00E23314">
      <w:r>
        <w:separator/>
      </w:r>
    </w:p>
  </w:endnote>
  <w:endnote w:type="continuationSeparator" w:id="0">
    <w:p w:rsidR="00FA05FC" w:rsidRDefault="00E2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Yu Gothic"/>
    <w:charset w:val="8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FC" w:rsidRDefault="00E23314">
      <w:r>
        <w:rPr>
          <w:color w:val="000000"/>
        </w:rPr>
        <w:ptab w:relativeTo="margin" w:alignment="center" w:leader="none"/>
      </w:r>
    </w:p>
  </w:footnote>
  <w:footnote w:type="continuationSeparator" w:id="0">
    <w:p w:rsidR="00FA05FC" w:rsidRDefault="00E2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7D"/>
    <w:rsid w:val="00022262"/>
    <w:rsid w:val="009B037D"/>
    <w:rsid w:val="00E23314"/>
    <w:rsid w:val="00F86D2D"/>
    <w:rsid w:val="00F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090B6-2AAE-4137-A8F9-59F0EA7B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xl48">
    <w:name w:val="xl48"/>
    <w:basedOn w:val="Normal"/>
    <w:rsid w:val="00E23314"/>
    <w:pPr>
      <w:widowControl/>
      <w:autoSpaceDN/>
      <w:spacing w:before="280" w:after="280"/>
      <w:jc w:val="center"/>
      <w:textAlignment w:val="center"/>
    </w:pPr>
    <w:rPr>
      <w:rFonts w:eastAsia="Arial Unicode MS" w:cs="Times New Roman"/>
      <w:kern w:val="0"/>
      <w:lang w:bidi="ar-SA"/>
    </w:rPr>
  </w:style>
  <w:style w:type="paragraph" w:customStyle="1" w:styleId="EMPTYCELLSTYLE">
    <w:name w:val="EMPTY_CELL_STYLE"/>
    <w:rsid w:val="00E23314"/>
    <w:pPr>
      <w:widowControl/>
      <w:autoSpaceDN/>
      <w:textAlignment w:val="auto"/>
    </w:pPr>
    <w:rPr>
      <w:rFonts w:eastAsia="Times New Roman" w:cs="Times New Roman"/>
      <w:kern w:val="0"/>
      <w:sz w:val="1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6780</Characters>
  <Application>Microsoft Office Word</Application>
  <DocSecurity>4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Viana Cavalcante</dc:creator>
  <cp:lastModifiedBy>Edvaldo Luiz da Silva</cp:lastModifiedBy>
  <cp:revision>2</cp:revision>
  <dcterms:created xsi:type="dcterms:W3CDTF">2023-10-16T13:27:00Z</dcterms:created>
  <dcterms:modified xsi:type="dcterms:W3CDTF">2023-10-16T13:27:00Z</dcterms:modified>
</cp:coreProperties>
</file>